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3BD153" w14:textId="77777777" w:rsidR="00F129D5" w:rsidRPr="00B96CAA" w:rsidRDefault="00F129D5" w:rsidP="00F129D5">
      <w:pPr>
        <w:pStyle w:val="LawSchool"/>
        <w:jc w:val="center"/>
        <w:rPr>
          <w:b/>
          <w:szCs w:val="24"/>
        </w:rPr>
      </w:pPr>
      <w:r w:rsidRPr="00B96CAA">
        <w:rPr>
          <w:b/>
          <w:szCs w:val="24"/>
        </w:rPr>
        <w:t xml:space="preserve">CONSTITUTIONAL LAW IN CONTEXT, </w:t>
      </w:r>
      <w:r w:rsidR="001C757B" w:rsidRPr="00B96CAA">
        <w:rPr>
          <w:b/>
          <w:szCs w:val="24"/>
        </w:rPr>
        <w:t>4</w:t>
      </w:r>
      <w:r w:rsidR="001C757B" w:rsidRPr="00B96CAA">
        <w:rPr>
          <w:b/>
          <w:szCs w:val="24"/>
          <w:vertAlign w:val="superscript"/>
        </w:rPr>
        <w:t>th</w:t>
      </w:r>
      <w:r w:rsidR="001C757B" w:rsidRPr="00B96CAA">
        <w:rPr>
          <w:b/>
          <w:szCs w:val="24"/>
        </w:rPr>
        <w:t xml:space="preserve"> </w:t>
      </w:r>
      <w:r w:rsidRPr="00B96CAA">
        <w:rPr>
          <w:b/>
          <w:szCs w:val="24"/>
        </w:rPr>
        <w:t>Edition</w:t>
      </w:r>
    </w:p>
    <w:p w14:paraId="2DDA290E" w14:textId="77777777" w:rsidR="00F129D5" w:rsidRPr="00B96CAA" w:rsidRDefault="00F129D5" w:rsidP="00F129D5">
      <w:pPr>
        <w:pStyle w:val="LawSchool"/>
        <w:jc w:val="center"/>
        <w:rPr>
          <w:szCs w:val="24"/>
        </w:rPr>
      </w:pPr>
    </w:p>
    <w:p w14:paraId="2565D800" w14:textId="77777777" w:rsidR="00F129D5" w:rsidRPr="00B96CAA" w:rsidRDefault="00F129D5" w:rsidP="00F129D5">
      <w:pPr>
        <w:pStyle w:val="LawSchool"/>
        <w:jc w:val="center"/>
        <w:rPr>
          <w:szCs w:val="24"/>
        </w:rPr>
      </w:pPr>
      <w:r w:rsidRPr="00B96CAA">
        <w:rPr>
          <w:szCs w:val="24"/>
        </w:rPr>
        <w:t xml:space="preserve">Michael Kent Curtis, J. Wilson Parker, </w:t>
      </w:r>
    </w:p>
    <w:p w14:paraId="4F1C50A4" w14:textId="77777777" w:rsidR="00F129D5" w:rsidRPr="00B96CAA" w:rsidRDefault="00997126" w:rsidP="00F129D5">
      <w:pPr>
        <w:pStyle w:val="LawSchool"/>
        <w:jc w:val="center"/>
        <w:rPr>
          <w:szCs w:val="24"/>
        </w:rPr>
      </w:pPr>
      <w:r w:rsidRPr="00B96CAA">
        <w:rPr>
          <w:szCs w:val="24"/>
        </w:rPr>
        <w:t xml:space="preserve">William G. Ross, </w:t>
      </w:r>
      <w:r w:rsidR="00F129D5" w:rsidRPr="00B96CAA">
        <w:rPr>
          <w:szCs w:val="24"/>
        </w:rPr>
        <w:t xml:space="preserve">Davison M. Douglas, </w:t>
      </w:r>
      <w:r w:rsidRPr="00B96CAA">
        <w:rPr>
          <w:szCs w:val="24"/>
        </w:rPr>
        <w:t xml:space="preserve">and </w:t>
      </w:r>
      <w:r w:rsidR="00F129D5" w:rsidRPr="00B96CAA">
        <w:rPr>
          <w:szCs w:val="24"/>
        </w:rPr>
        <w:t xml:space="preserve">Paul Finkelman </w:t>
      </w:r>
    </w:p>
    <w:p w14:paraId="0C4E78DA" w14:textId="77777777" w:rsidR="00F129D5" w:rsidRPr="00B96CAA" w:rsidRDefault="00F129D5" w:rsidP="00F129D5">
      <w:pPr>
        <w:tabs>
          <w:tab w:val="left" w:pos="720"/>
          <w:tab w:val="center" w:pos="4680"/>
        </w:tabs>
        <w:jc w:val="center"/>
        <w:rPr>
          <w:rFonts w:cs="Times New Roman"/>
          <w:b/>
          <w:szCs w:val="24"/>
        </w:rPr>
      </w:pPr>
    </w:p>
    <w:p w14:paraId="397EEB6F" w14:textId="3920EFDD" w:rsidR="00F129D5" w:rsidRPr="00B96CAA" w:rsidRDefault="00911F07" w:rsidP="00F129D5">
      <w:pPr>
        <w:tabs>
          <w:tab w:val="left" w:pos="720"/>
          <w:tab w:val="center" w:pos="4680"/>
        </w:tabs>
        <w:jc w:val="center"/>
        <w:rPr>
          <w:rFonts w:cs="Times New Roman"/>
          <w:b/>
          <w:szCs w:val="24"/>
        </w:rPr>
      </w:pPr>
      <w:r w:rsidRPr="00B96CAA">
        <w:rPr>
          <w:rFonts w:cs="Times New Roman"/>
          <w:b/>
          <w:szCs w:val="24"/>
        </w:rPr>
        <w:t>201</w:t>
      </w:r>
      <w:r w:rsidR="00BF7079">
        <w:rPr>
          <w:rFonts w:cs="Times New Roman"/>
          <w:b/>
          <w:szCs w:val="24"/>
        </w:rPr>
        <w:t>9-2020</w:t>
      </w:r>
      <w:r w:rsidRPr="00B96CAA">
        <w:rPr>
          <w:rFonts w:cs="Times New Roman"/>
          <w:b/>
          <w:szCs w:val="24"/>
        </w:rPr>
        <w:t xml:space="preserve"> </w:t>
      </w:r>
      <w:r w:rsidR="00F129D5" w:rsidRPr="00B96CAA">
        <w:rPr>
          <w:rFonts w:cs="Times New Roman"/>
          <w:b/>
          <w:szCs w:val="24"/>
        </w:rPr>
        <w:t>ANNUAL SUPPLEMENT</w:t>
      </w:r>
    </w:p>
    <w:p w14:paraId="551AC98E" w14:textId="77777777" w:rsidR="00F129D5" w:rsidRPr="00B96CAA" w:rsidRDefault="00F129D5" w:rsidP="00F129D5">
      <w:pPr>
        <w:tabs>
          <w:tab w:val="left" w:pos="720"/>
        </w:tabs>
        <w:jc w:val="center"/>
        <w:rPr>
          <w:rFonts w:cs="Times New Roman"/>
          <w:szCs w:val="24"/>
        </w:rPr>
      </w:pPr>
      <w:r w:rsidRPr="00B96CAA">
        <w:rPr>
          <w:rFonts w:cs="Times New Roman"/>
          <w:szCs w:val="24"/>
        </w:rPr>
        <w:t>Carolina Academic Press</w:t>
      </w:r>
    </w:p>
    <w:p w14:paraId="7FB32A51" w14:textId="77777777" w:rsidR="00F129D5" w:rsidRPr="00B96CAA" w:rsidRDefault="00F129D5" w:rsidP="00F129D5">
      <w:pPr>
        <w:tabs>
          <w:tab w:val="left" w:pos="720"/>
          <w:tab w:val="center" w:pos="4680"/>
        </w:tabs>
        <w:rPr>
          <w:rFonts w:cs="Times New Roman"/>
          <w:szCs w:val="24"/>
        </w:rPr>
      </w:pPr>
    </w:p>
    <w:p w14:paraId="176B6E8C" w14:textId="77777777" w:rsidR="00F129D5" w:rsidRPr="00B96CAA" w:rsidRDefault="00F129D5" w:rsidP="00997126">
      <w:pPr>
        <w:tabs>
          <w:tab w:val="left" w:pos="720"/>
          <w:tab w:val="center" w:pos="4680"/>
        </w:tabs>
        <w:jc w:val="center"/>
        <w:rPr>
          <w:rFonts w:cs="Times New Roman"/>
          <w:szCs w:val="24"/>
        </w:rPr>
      </w:pPr>
      <w:r w:rsidRPr="00B96CAA">
        <w:rPr>
          <w:rFonts w:cs="Times New Roman"/>
          <w:szCs w:val="24"/>
        </w:rPr>
        <w:t xml:space="preserve">Michael Kent Curtis, J. Wilson Parker, </w:t>
      </w:r>
      <w:r w:rsidR="00997126" w:rsidRPr="00B96CAA">
        <w:rPr>
          <w:rFonts w:cs="Times New Roman"/>
          <w:szCs w:val="24"/>
        </w:rPr>
        <w:t xml:space="preserve">and </w:t>
      </w:r>
      <w:r w:rsidRPr="00B96CAA">
        <w:rPr>
          <w:rFonts w:cs="Times New Roman"/>
          <w:szCs w:val="24"/>
        </w:rPr>
        <w:t>William G. Ross</w:t>
      </w:r>
    </w:p>
    <w:p w14:paraId="0F7CB3EC" w14:textId="6CB6831B" w:rsidR="00B42F0F" w:rsidRDefault="00911F07" w:rsidP="00F129D5">
      <w:pPr>
        <w:tabs>
          <w:tab w:val="left" w:pos="720"/>
          <w:tab w:val="center" w:pos="4680"/>
        </w:tabs>
        <w:jc w:val="center"/>
        <w:rPr>
          <w:rFonts w:cs="Times New Roman"/>
          <w:szCs w:val="24"/>
        </w:rPr>
      </w:pPr>
      <w:r w:rsidRPr="00B96CAA">
        <w:rPr>
          <w:rFonts w:cs="Times New Roman"/>
          <w:szCs w:val="24"/>
        </w:rPr>
        <w:t>© 201</w:t>
      </w:r>
      <w:r w:rsidR="00BF7079">
        <w:rPr>
          <w:rFonts w:cs="Times New Roman"/>
          <w:szCs w:val="24"/>
        </w:rPr>
        <w:t>9</w:t>
      </w:r>
      <w:r w:rsidR="00F129D5" w:rsidRPr="00B96CAA">
        <w:rPr>
          <w:rFonts w:cs="Times New Roman"/>
          <w:szCs w:val="24"/>
        </w:rPr>
        <w:t xml:space="preserve"> Michael Kent Curtis, J. Wilson Parker, </w:t>
      </w:r>
      <w:r w:rsidR="00997126" w:rsidRPr="00B96CAA">
        <w:rPr>
          <w:rFonts w:cs="Times New Roman"/>
          <w:szCs w:val="24"/>
        </w:rPr>
        <w:t xml:space="preserve">and </w:t>
      </w:r>
      <w:r w:rsidR="00F129D5" w:rsidRPr="00B96CAA">
        <w:rPr>
          <w:rFonts w:cs="Times New Roman"/>
          <w:szCs w:val="24"/>
        </w:rPr>
        <w:t>William G. Ross</w:t>
      </w:r>
    </w:p>
    <w:p w14:paraId="30D08544" w14:textId="77777777" w:rsidR="00B42F0F" w:rsidRDefault="00B42F0F">
      <w:pPr>
        <w:rPr>
          <w:rFonts w:cs="Times New Roman"/>
          <w:szCs w:val="24"/>
        </w:rPr>
      </w:pPr>
      <w:r>
        <w:rPr>
          <w:rFonts w:cs="Times New Roman"/>
          <w:szCs w:val="24"/>
        </w:rPr>
        <w:br w:type="page"/>
      </w:r>
    </w:p>
    <w:p w14:paraId="33F5832F" w14:textId="77777777" w:rsidR="00F129D5" w:rsidRPr="00B96CAA" w:rsidRDefault="00F129D5" w:rsidP="00F129D5">
      <w:pPr>
        <w:tabs>
          <w:tab w:val="left" w:pos="720"/>
          <w:tab w:val="center" w:pos="4680"/>
        </w:tabs>
        <w:jc w:val="center"/>
        <w:rPr>
          <w:rFonts w:cs="Times New Roman"/>
          <w:szCs w:val="24"/>
        </w:rPr>
      </w:pPr>
    </w:p>
    <w:p w14:paraId="3E0F2E04" w14:textId="77777777" w:rsidR="00F129D5" w:rsidRPr="00B96CAA" w:rsidRDefault="00F129D5" w:rsidP="00F129D5">
      <w:pPr>
        <w:tabs>
          <w:tab w:val="left" w:pos="720"/>
          <w:tab w:val="center" w:pos="4680"/>
        </w:tabs>
        <w:jc w:val="center"/>
        <w:rPr>
          <w:rFonts w:cs="Times New Roman"/>
          <w:szCs w:val="24"/>
        </w:rPr>
      </w:pPr>
    </w:p>
    <w:p w14:paraId="67651BA7" w14:textId="77777777" w:rsidR="00F129D5" w:rsidRPr="00B96CAA" w:rsidRDefault="00F129D5" w:rsidP="00F129D5">
      <w:pPr>
        <w:tabs>
          <w:tab w:val="left" w:pos="720"/>
          <w:tab w:val="center" w:pos="4680"/>
        </w:tabs>
        <w:jc w:val="center"/>
        <w:rPr>
          <w:rFonts w:cs="Times New Roman"/>
          <w:szCs w:val="24"/>
        </w:rPr>
      </w:pPr>
    </w:p>
    <w:p w14:paraId="2CE2CB75" w14:textId="24520E1F" w:rsidR="003A769E" w:rsidRDefault="003A769E">
      <w:pPr>
        <w:rPr>
          <w:rFonts w:cs="Times New Roman"/>
          <w:szCs w:val="24"/>
        </w:rPr>
      </w:pPr>
      <w:r>
        <w:rPr>
          <w:rFonts w:cs="Times New Roman"/>
          <w:szCs w:val="24"/>
        </w:rPr>
        <w:br w:type="page"/>
      </w:r>
    </w:p>
    <w:p w14:paraId="7AF48058" w14:textId="77777777" w:rsidR="00F129D5" w:rsidRPr="00B96CAA" w:rsidRDefault="00F129D5" w:rsidP="00F129D5">
      <w:pPr>
        <w:ind w:firstLine="216"/>
        <w:rPr>
          <w:rFonts w:cs="Times New Roman"/>
          <w:szCs w:val="24"/>
        </w:rPr>
        <w:sectPr w:rsidR="00F129D5" w:rsidRPr="00B96CAA" w:rsidSect="00A204D2">
          <w:footerReference w:type="default" r:id="rId7"/>
          <w:footerReference w:type="first" r:id="rId8"/>
          <w:footnotePr>
            <w:numRestart w:val="eachSect"/>
          </w:footnotePr>
          <w:pgSz w:w="12240" w:h="15840" w:code="1"/>
          <w:pgMar w:top="1440" w:right="1440" w:bottom="1440" w:left="1440" w:header="720" w:footer="720" w:gutter="0"/>
          <w:pgNumType w:fmt="lowerRoman" w:start="1"/>
          <w:cols w:space="720"/>
          <w:vAlign w:val="center"/>
          <w:docGrid w:linePitch="360"/>
        </w:sectPr>
      </w:pPr>
    </w:p>
    <w:p w14:paraId="17F99D2A" w14:textId="6E89A45E" w:rsidR="00F129D5" w:rsidRPr="00B96CAA" w:rsidRDefault="00F129D5" w:rsidP="00F129D5">
      <w:pPr>
        <w:ind w:firstLine="216"/>
        <w:jc w:val="center"/>
        <w:rPr>
          <w:rFonts w:cs="Times New Roman"/>
          <w:szCs w:val="24"/>
        </w:rPr>
      </w:pPr>
      <w:r w:rsidRPr="00B96CAA">
        <w:rPr>
          <w:rFonts w:cs="Times New Roman"/>
          <w:b/>
          <w:szCs w:val="24"/>
        </w:rPr>
        <w:lastRenderedPageBreak/>
        <w:t xml:space="preserve">CONSTITUTIONAL LAW IN CONTEXT, </w:t>
      </w:r>
      <w:r w:rsidR="00997126" w:rsidRPr="00B96CAA">
        <w:rPr>
          <w:rFonts w:cs="Times New Roman"/>
          <w:b/>
          <w:szCs w:val="24"/>
        </w:rPr>
        <w:t>4</w:t>
      </w:r>
      <w:r w:rsidR="00997126" w:rsidRPr="00B96CAA">
        <w:rPr>
          <w:rFonts w:cs="Times New Roman"/>
          <w:b/>
          <w:szCs w:val="24"/>
          <w:vertAlign w:val="superscript"/>
        </w:rPr>
        <w:t>th</w:t>
      </w:r>
      <w:r w:rsidR="00997126" w:rsidRPr="00B96CAA">
        <w:rPr>
          <w:rFonts w:cs="Times New Roman"/>
          <w:b/>
          <w:szCs w:val="24"/>
        </w:rPr>
        <w:t xml:space="preserve"> </w:t>
      </w:r>
      <w:r w:rsidRPr="00B96CAA">
        <w:rPr>
          <w:rFonts w:cs="Times New Roman"/>
          <w:b/>
          <w:szCs w:val="24"/>
        </w:rPr>
        <w:t>Edition</w:t>
      </w:r>
    </w:p>
    <w:p w14:paraId="5E0F14C5" w14:textId="5B2D67A5" w:rsidR="00F129D5" w:rsidRPr="00B96CAA" w:rsidRDefault="00911F07" w:rsidP="00F129D5">
      <w:pPr>
        <w:tabs>
          <w:tab w:val="left" w:pos="720"/>
          <w:tab w:val="center" w:pos="4680"/>
        </w:tabs>
        <w:jc w:val="center"/>
        <w:rPr>
          <w:rFonts w:cs="Times New Roman"/>
          <w:szCs w:val="24"/>
        </w:rPr>
      </w:pPr>
      <w:r w:rsidRPr="00B96CAA">
        <w:rPr>
          <w:rFonts w:cs="Times New Roman"/>
          <w:b/>
          <w:szCs w:val="24"/>
        </w:rPr>
        <w:t>201</w:t>
      </w:r>
      <w:r w:rsidR="00BF7079">
        <w:rPr>
          <w:rFonts w:cs="Times New Roman"/>
          <w:b/>
          <w:szCs w:val="24"/>
        </w:rPr>
        <w:t>9</w:t>
      </w:r>
      <w:r w:rsidRPr="00B96CAA">
        <w:rPr>
          <w:rFonts w:cs="Times New Roman"/>
          <w:b/>
          <w:szCs w:val="24"/>
        </w:rPr>
        <w:t>-20</w:t>
      </w:r>
      <w:r w:rsidR="00BF7079">
        <w:rPr>
          <w:rFonts w:cs="Times New Roman"/>
          <w:b/>
          <w:szCs w:val="24"/>
        </w:rPr>
        <w:t>20</w:t>
      </w:r>
      <w:r w:rsidR="00F129D5" w:rsidRPr="00B96CAA">
        <w:rPr>
          <w:rFonts w:cs="Times New Roman"/>
          <w:b/>
          <w:szCs w:val="24"/>
        </w:rPr>
        <w:t xml:space="preserve"> ANNUAL SUPPLEMENT</w:t>
      </w:r>
    </w:p>
    <w:p w14:paraId="039CB278" w14:textId="77777777" w:rsidR="00F129D5" w:rsidRPr="00B96CAA" w:rsidRDefault="00F129D5" w:rsidP="00997126">
      <w:pPr>
        <w:tabs>
          <w:tab w:val="left" w:pos="720"/>
          <w:tab w:val="center" w:pos="4680"/>
        </w:tabs>
        <w:jc w:val="center"/>
        <w:rPr>
          <w:rFonts w:cs="Times New Roman"/>
          <w:szCs w:val="24"/>
        </w:rPr>
      </w:pPr>
      <w:r w:rsidRPr="00B96CAA">
        <w:rPr>
          <w:rFonts w:cs="Times New Roman"/>
          <w:szCs w:val="24"/>
        </w:rPr>
        <w:t>Michael Kent Curtis, J. Wilson Parker,</w:t>
      </w:r>
      <w:r w:rsidR="00997126" w:rsidRPr="00B96CAA">
        <w:rPr>
          <w:rFonts w:cs="Times New Roman"/>
          <w:szCs w:val="24"/>
        </w:rPr>
        <w:t xml:space="preserve"> </w:t>
      </w:r>
      <w:r w:rsidRPr="00B96CAA">
        <w:rPr>
          <w:rFonts w:cs="Times New Roman"/>
          <w:szCs w:val="24"/>
        </w:rPr>
        <w:t>and William G. Ross</w:t>
      </w:r>
    </w:p>
    <w:p w14:paraId="2D776476" w14:textId="7FF53498" w:rsidR="00F129D5" w:rsidRPr="00B96CAA" w:rsidRDefault="00911F07" w:rsidP="00F129D5">
      <w:pPr>
        <w:tabs>
          <w:tab w:val="left" w:pos="720"/>
        </w:tabs>
        <w:jc w:val="center"/>
        <w:rPr>
          <w:rFonts w:cs="Times New Roman"/>
          <w:szCs w:val="24"/>
        </w:rPr>
      </w:pPr>
      <w:r w:rsidRPr="00B96CAA">
        <w:rPr>
          <w:rFonts w:cs="Times New Roman"/>
          <w:szCs w:val="24"/>
        </w:rPr>
        <w:t>© 201</w:t>
      </w:r>
      <w:r w:rsidR="00BF7079">
        <w:rPr>
          <w:rFonts w:cs="Times New Roman"/>
          <w:szCs w:val="24"/>
        </w:rPr>
        <w:t>9</w:t>
      </w:r>
    </w:p>
    <w:p w14:paraId="5855C58D" w14:textId="77777777" w:rsidR="00F129D5" w:rsidRPr="00B96CAA" w:rsidRDefault="00F129D5" w:rsidP="00F129D5">
      <w:pPr>
        <w:tabs>
          <w:tab w:val="left" w:pos="720"/>
          <w:tab w:val="center" w:pos="4680"/>
        </w:tabs>
        <w:jc w:val="center"/>
        <w:rPr>
          <w:rFonts w:cs="Times New Roman"/>
          <w:szCs w:val="24"/>
        </w:rPr>
      </w:pPr>
      <w:r w:rsidRPr="00B96CAA">
        <w:rPr>
          <w:rFonts w:cs="Times New Roman"/>
          <w:szCs w:val="24"/>
        </w:rPr>
        <w:t>Carolina Academic Press</w:t>
      </w:r>
    </w:p>
    <w:p w14:paraId="6D88A563" w14:textId="10F5A700" w:rsidR="00F129D5" w:rsidRPr="00B96CAA" w:rsidRDefault="00F129D5" w:rsidP="00F129D5">
      <w:pPr>
        <w:pStyle w:val="TOCHeading"/>
        <w:jc w:val="center"/>
        <w:rPr>
          <w:rFonts w:ascii="Times New Roman" w:hAnsi="Times New Roman" w:cs="Times New Roman"/>
          <w:color w:val="auto"/>
          <w:sz w:val="24"/>
          <w:szCs w:val="24"/>
        </w:rPr>
      </w:pPr>
      <w:r w:rsidRPr="00B96CAA">
        <w:rPr>
          <w:rFonts w:ascii="Times New Roman" w:hAnsi="Times New Roman" w:cs="Times New Roman"/>
          <w:color w:val="auto"/>
          <w:sz w:val="24"/>
          <w:szCs w:val="24"/>
        </w:rPr>
        <w:t>TABLE OF CONTENTS</w:t>
      </w:r>
    </w:p>
    <w:sdt>
      <w:sdtPr>
        <w:rPr>
          <w:rFonts w:ascii="Times New Roman" w:eastAsiaTheme="minorHAnsi" w:hAnsi="Times New Roman" w:cstheme="minorBidi"/>
          <w:b w:val="0"/>
          <w:bCs w:val="0"/>
          <w:color w:val="auto"/>
          <w:sz w:val="24"/>
          <w:szCs w:val="22"/>
          <w:lang w:eastAsia="en-US"/>
        </w:rPr>
        <w:id w:val="619031924"/>
        <w:docPartObj>
          <w:docPartGallery w:val="Table of Contents"/>
          <w:docPartUnique/>
        </w:docPartObj>
      </w:sdtPr>
      <w:sdtEndPr>
        <w:rPr>
          <w:noProof/>
        </w:rPr>
      </w:sdtEndPr>
      <w:sdtContent>
        <w:p w14:paraId="6D517797" w14:textId="22899054" w:rsidR="0042724A" w:rsidRDefault="0042724A">
          <w:pPr>
            <w:pStyle w:val="TOCHeading"/>
          </w:pPr>
          <w:r>
            <w:t>Contents</w:t>
          </w:r>
        </w:p>
        <w:p w14:paraId="1DF845E5" w14:textId="67F04E30" w:rsidR="0042724A" w:rsidRDefault="0042724A">
          <w:pPr>
            <w:pStyle w:val="TOC1"/>
            <w:tabs>
              <w:tab w:val="right" w:leader="dot" w:pos="9350"/>
            </w:tabs>
            <w:rPr>
              <w:rFonts w:asciiTheme="minorHAnsi" w:eastAsiaTheme="minorEastAsia" w:hAnsiTheme="minorHAnsi"/>
              <w:noProof/>
              <w:sz w:val="22"/>
            </w:rPr>
          </w:pPr>
          <w:r>
            <w:fldChar w:fldCharType="begin"/>
          </w:r>
          <w:r>
            <w:instrText xml:space="preserve"> TOC \o "1-3" \h \z \u </w:instrText>
          </w:r>
          <w:r>
            <w:fldChar w:fldCharType="separate"/>
          </w:r>
          <w:hyperlink w:anchor="_Toc16886237" w:history="1">
            <w:r w:rsidRPr="008C3FE7">
              <w:rPr>
                <w:rStyle w:val="Hyperlink"/>
                <w:noProof/>
                <w:lang w:val="en-CA"/>
              </w:rPr>
              <w:t>Chapter 3. Limits on Federal Power: The Federal Structure, the 10</w:t>
            </w:r>
            <w:r w:rsidRPr="008C3FE7">
              <w:rPr>
                <w:rStyle w:val="Hyperlink"/>
                <w:noProof/>
                <w:vertAlign w:val="superscript"/>
                <w:lang w:val="en-CA"/>
              </w:rPr>
              <w:t>th</w:t>
            </w:r>
            <w:r w:rsidRPr="008C3FE7">
              <w:rPr>
                <w:rStyle w:val="Hyperlink"/>
                <w:noProof/>
                <w:lang w:val="en-CA"/>
              </w:rPr>
              <w:t xml:space="preserve"> Amendment, and State Sovereign Immunity. Part II, National Power and State Power: The 10</w:t>
            </w:r>
            <w:r w:rsidRPr="008C3FE7">
              <w:rPr>
                <w:rStyle w:val="Hyperlink"/>
                <w:noProof/>
                <w:vertAlign w:val="superscript"/>
                <w:lang w:val="en-CA"/>
              </w:rPr>
              <w:t>th</w:t>
            </w:r>
            <w:r w:rsidRPr="008C3FE7">
              <w:rPr>
                <w:rStyle w:val="Hyperlink"/>
                <w:noProof/>
                <w:lang w:val="en-CA"/>
              </w:rPr>
              <w:t xml:space="preserve"> Amendment</w:t>
            </w:r>
            <w:r>
              <w:rPr>
                <w:noProof/>
                <w:webHidden/>
              </w:rPr>
              <w:tab/>
            </w:r>
            <w:r>
              <w:rPr>
                <w:noProof/>
                <w:webHidden/>
              </w:rPr>
              <w:fldChar w:fldCharType="begin"/>
            </w:r>
            <w:r>
              <w:rPr>
                <w:noProof/>
                <w:webHidden/>
              </w:rPr>
              <w:instrText xml:space="preserve"> PAGEREF _Toc16886237 \h </w:instrText>
            </w:r>
            <w:r>
              <w:rPr>
                <w:noProof/>
                <w:webHidden/>
              </w:rPr>
            </w:r>
            <w:r>
              <w:rPr>
                <w:noProof/>
                <w:webHidden/>
              </w:rPr>
              <w:fldChar w:fldCharType="separate"/>
            </w:r>
            <w:r>
              <w:rPr>
                <w:noProof/>
                <w:webHidden/>
              </w:rPr>
              <w:t>1</w:t>
            </w:r>
            <w:r>
              <w:rPr>
                <w:noProof/>
                <w:webHidden/>
              </w:rPr>
              <w:fldChar w:fldCharType="end"/>
            </w:r>
          </w:hyperlink>
        </w:p>
        <w:p w14:paraId="589E30CA" w14:textId="35BC1227" w:rsidR="0042724A" w:rsidRDefault="00BF6EA6">
          <w:pPr>
            <w:pStyle w:val="TOC2"/>
            <w:tabs>
              <w:tab w:val="right" w:leader="dot" w:pos="9350"/>
            </w:tabs>
            <w:rPr>
              <w:rFonts w:asciiTheme="minorHAnsi" w:eastAsiaTheme="minorEastAsia" w:hAnsiTheme="minorHAnsi"/>
              <w:noProof/>
              <w:sz w:val="22"/>
            </w:rPr>
          </w:pPr>
          <w:hyperlink w:anchor="_Toc16886238" w:history="1">
            <w:r w:rsidR="0042724A" w:rsidRPr="008C3FE7">
              <w:rPr>
                <w:rStyle w:val="Hyperlink"/>
                <w:noProof/>
                <w:lang w:val="en-CA"/>
              </w:rPr>
              <w:t xml:space="preserve">Note: </w:t>
            </w:r>
            <w:r w:rsidR="0042724A" w:rsidRPr="008C3FE7">
              <w:rPr>
                <w:rStyle w:val="Hyperlink"/>
                <w:i/>
                <w:noProof/>
                <w:lang w:val="en-CA"/>
              </w:rPr>
              <w:t>Murphy v. NCAA</w:t>
            </w:r>
            <w:r w:rsidR="0042724A" w:rsidRPr="008C3FE7">
              <w:rPr>
                <w:rStyle w:val="Hyperlink"/>
                <w:noProof/>
                <w:lang w:val="en-CA"/>
              </w:rPr>
              <w:t xml:space="preserve"> (2018)</w:t>
            </w:r>
            <w:r w:rsidR="0042724A">
              <w:rPr>
                <w:noProof/>
                <w:webHidden/>
              </w:rPr>
              <w:tab/>
            </w:r>
            <w:r w:rsidR="0042724A">
              <w:rPr>
                <w:noProof/>
                <w:webHidden/>
              </w:rPr>
              <w:fldChar w:fldCharType="begin"/>
            </w:r>
            <w:r w:rsidR="0042724A">
              <w:rPr>
                <w:noProof/>
                <w:webHidden/>
              </w:rPr>
              <w:instrText xml:space="preserve"> PAGEREF _Toc16886238 \h </w:instrText>
            </w:r>
            <w:r w:rsidR="0042724A">
              <w:rPr>
                <w:noProof/>
                <w:webHidden/>
              </w:rPr>
            </w:r>
            <w:r w:rsidR="0042724A">
              <w:rPr>
                <w:noProof/>
                <w:webHidden/>
              </w:rPr>
              <w:fldChar w:fldCharType="separate"/>
            </w:r>
            <w:r w:rsidR="0042724A">
              <w:rPr>
                <w:noProof/>
                <w:webHidden/>
              </w:rPr>
              <w:t>1</w:t>
            </w:r>
            <w:r w:rsidR="0042724A">
              <w:rPr>
                <w:noProof/>
                <w:webHidden/>
              </w:rPr>
              <w:fldChar w:fldCharType="end"/>
            </w:r>
          </w:hyperlink>
        </w:p>
        <w:p w14:paraId="47C2A3FA" w14:textId="31A4973A" w:rsidR="0042724A" w:rsidRDefault="00BF6EA6">
          <w:pPr>
            <w:pStyle w:val="TOC2"/>
            <w:tabs>
              <w:tab w:val="right" w:leader="dot" w:pos="9350"/>
            </w:tabs>
            <w:rPr>
              <w:rFonts w:asciiTheme="minorHAnsi" w:eastAsiaTheme="minorEastAsia" w:hAnsiTheme="minorHAnsi"/>
              <w:noProof/>
              <w:sz w:val="22"/>
            </w:rPr>
          </w:pPr>
          <w:hyperlink w:anchor="_Toc16886239" w:history="1">
            <w:r w:rsidR="0042724A" w:rsidRPr="008C3FE7">
              <w:rPr>
                <w:rStyle w:val="Hyperlink"/>
                <w:noProof/>
              </w:rPr>
              <w:t xml:space="preserve">B. Note: </w:t>
            </w:r>
            <w:r w:rsidR="0042724A" w:rsidRPr="008C3FE7">
              <w:rPr>
                <w:rStyle w:val="Hyperlink"/>
                <w:i/>
                <w:noProof/>
              </w:rPr>
              <w:t>Alden v. Maine</w:t>
            </w:r>
            <w:r w:rsidR="0042724A" w:rsidRPr="008C3FE7">
              <w:rPr>
                <w:rStyle w:val="Hyperlink"/>
                <w:noProof/>
              </w:rPr>
              <w:t xml:space="preserve"> (1999)</w:t>
            </w:r>
            <w:r w:rsidR="0042724A">
              <w:rPr>
                <w:noProof/>
                <w:webHidden/>
              </w:rPr>
              <w:tab/>
            </w:r>
            <w:r w:rsidR="0042724A">
              <w:rPr>
                <w:noProof/>
                <w:webHidden/>
              </w:rPr>
              <w:fldChar w:fldCharType="begin"/>
            </w:r>
            <w:r w:rsidR="0042724A">
              <w:rPr>
                <w:noProof/>
                <w:webHidden/>
              </w:rPr>
              <w:instrText xml:space="preserve"> PAGEREF _Toc16886239 \h </w:instrText>
            </w:r>
            <w:r w:rsidR="0042724A">
              <w:rPr>
                <w:noProof/>
                <w:webHidden/>
              </w:rPr>
            </w:r>
            <w:r w:rsidR="0042724A">
              <w:rPr>
                <w:noProof/>
                <w:webHidden/>
              </w:rPr>
              <w:fldChar w:fldCharType="separate"/>
            </w:r>
            <w:r w:rsidR="0042724A">
              <w:rPr>
                <w:noProof/>
                <w:webHidden/>
              </w:rPr>
              <w:t>6</w:t>
            </w:r>
            <w:r w:rsidR="0042724A">
              <w:rPr>
                <w:noProof/>
                <w:webHidden/>
              </w:rPr>
              <w:fldChar w:fldCharType="end"/>
            </w:r>
          </w:hyperlink>
        </w:p>
        <w:p w14:paraId="11198B8F" w14:textId="777EF763" w:rsidR="0042724A" w:rsidRDefault="00BF6EA6">
          <w:pPr>
            <w:pStyle w:val="TOC1"/>
            <w:tabs>
              <w:tab w:val="right" w:leader="dot" w:pos="9350"/>
            </w:tabs>
            <w:rPr>
              <w:rFonts w:asciiTheme="minorHAnsi" w:eastAsiaTheme="minorEastAsia" w:hAnsiTheme="minorHAnsi"/>
              <w:noProof/>
              <w:sz w:val="22"/>
            </w:rPr>
          </w:pPr>
          <w:hyperlink w:anchor="_Toc16886240" w:history="1">
            <w:r w:rsidR="0042724A" w:rsidRPr="008C3FE7">
              <w:rPr>
                <w:rStyle w:val="Hyperlink"/>
                <w:noProof/>
              </w:rPr>
              <w:t>Chapter 4. Powers and Limits of the Federal Courts. Part VII-B, Political Questions.</w:t>
            </w:r>
            <w:r w:rsidR="0042724A">
              <w:rPr>
                <w:noProof/>
                <w:webHidden/>
              </w:rPr>
              <w:tab/>
            </w:r>
            <w:r w:rsidR="0042724A">
              <w:rPr>
                <w:noProof/>
                <w:webHidden/>
              </w:rPr>
              <w:fldChar w:fldCharType="begin"/>
            </w:r>
            <w:r w:rsidR="0042724A">
              <w:rPr>
                <w:noProof/>
                <w:webHidden/>
              </w:rPr>
              <w:instrText xml:space="preserve"> PAGEREF _Toc16886240 \h </w:instrText>
            </w:r>
            <w:r w:rsidR="0042724A">
              <w:rPr>
                <w:noProof/>
                <w:webHidden/>
              </w:rPr>
            </w:r>
            <w:r w:rsidR="0042724A">
              <w:rPr>
                <w:noProof/>
                <w:webHidden/>
              </w:rPr>
              <w:fldChar w:fldCharType="separate"/>
            </w:r>
            <w:r w:rsidR="0042724A">
              <w:rPr>
                <w:noProof/>
                <w:webHidden/>
              </w:rPr>
              <w:t>13</w:t>
            </w:r>
            <w:r w:rsidR="0042724A">
              <w:rPr>
                <w:noProof/>
                <w:webHidden/>
              </w:rPr>
              <w:fldChar w:fldCharType="end"/>
            </w:r>
          </w:hyperlink>
        </w:p>
        <w:p w14:paraId="1C0BA958" w14:textId="1F096C53" w:rsidR="0042724A" w:rsidRDefault="00BF6EA6">
          <w:pPr>
            <w:pStyle w:val="TOC1"/>
            <w:tabs>
              <w:tab w:val="right" w:leader="dot" w:pos="9350"/>
            </w:tabs>
            <w:rPr>
              <w:rFonts w:asciiTheme="minorHAnsi" w:eastAsiaTheme="minorEastAsia" w:hAnsiTheme="minorHAnsi"/>
              <w:noProof/>
              <w:sz w:val="22"/>
            </w:rPr>
          </w:pPr>
          <w:hyperlink w:anchor="_Toc16886241" w:history="1">
            <w:r w:rsidR="0042724A" w:rsidRPr="008C3FE7">
              <w:rPr>
                <w:rStyle w:val="Hyperlink"/>
                <w:rFonts w:cs="Times New Roman"/>
                <w:noProof/>
              </w:rPr>
              <w:t>Chapter 5. The Role of the President. Section I, The Scope of Executive Power</w:t>
            </w:r>
            <w:r w:rsidR="0042724A">
              <w:rPr>
                <w:noProof/>
                <w:webHidden/>
              </w:rPr>
              <w:tab/>
            </w:r>
            <w:r w:rsidR="0042724A">
              <w:rPr>
                <w:noProof/>
                <w:webHidden/>
              </w:rPr>
              <w:fldChar w:fldCharType="begin"/>
            </w:r>
            <w:r w:rsidR="0042724A">
              <w:rPr>
                <w:noProof/>
                <w:webHidden/>
              </w:rPr>
              <w:instrText xml:space="preserve"> PAGEREF _Toc16886241 \h </w:instrText>
            </w:r>
            <w:r w:rsidR="0042724A">
              <w:rPr>
                <w:noProof/>
                <w:webHidden/>
              </w:rPr>
            </w:r>
            <w:r w:rsidR="0042724A">
              <w:rPr>
                <w:noProof/>
                <w:webHidden/>
              </w:rPr>
              <w:fldChar w:fldCharType="separate"/>
            </w:r>
            <w:r w:rsidR="0042724A">
              <w:rPr>
                <w:noProof/>
                <w:webHidden/>
              </w:rPr>
              <w:t>15</w:t>
            </w:r>
            <w:r w:rsidR="0042724A">
              <w:rPr>
                <w:noProof/>
                <w:webHidden/>
              </w:rPr>
              <w:fldChar w:fldCharType="end"/>
            </w:r>
          </w:hyperlink>
        </w:p>
        <w:p w14:paraId="066C57E2" w14:textId="249A7724" w:rsidR="0042724A" w:rsidRDefault="00BF6EA6">
          <w:pPr>
            <w:pStyle w:val="TOC2"/>
            <w:tabs>
              <w:tab w:val="right" w:leader="dot" w:pos="9350"/>
            </w:tabs>
            <w:rPr>
              <w:rFonts w:asciiTheme="minorHAnsi" w:eastAsiaTheme="minorEastAsia" w:hAnsiTheme="minorHAnsi"/>
              <w:noProof/>
              <w:sz w:val="22"/>
            </w:rPr>
          </w:pPr>
          <w:hyperlink w:anchor="_Toc16886242" w:history="1">
            <w:r w:rsidR="0042724A" w:rsidRPr="008C3FE7">
              <w:rPr>
                <w:rStyle w:val="Hyperlink"/>
                <w:noProof/>
              </w:rPr>
              <w:t>I. The Scope of Executive Power</w:t>
            </w:r>
            <w:r w:rsidR="0042724A">
              <w:rPr>
                <w:noProof/>
                <w:webHidden/>
              </w:rPr>
              <w:tab/>
            </w:r>
            <w:r w:rsidR="0042724A">
              <w:rPr>
                <w:noProof/>
                <w:webHidden/>
              </w:rPr>
              <w:fldChar w:fldCharType="begin"/>
            </w:r>
            <w:r w:rsidR="0042724A">
              <w:rPr>
                <w:noProof/>
                <w:webHidden/>
              </w:rPr>
              <w:instrText xml:space="preserve"> PAGEREF _Toc16886242 \h </w:instrText>
            </w:r>
            <w:r w:rsidR="0042724A">
              <w:rPr>
                <w:noProof/>
                <w:webHidden/>
              </w:rPr>
            </w:r>
            <w:r w:rsidR="0042724A">
              <w:rPr>
                <w:noProof/>
                <w:webHidden/>
              </w:rPr>
              <w:fldChar w:fldCharType="separate"/>
            </w:r>
            <w:r w:rsidR="0042724A">
              <w:rPr>
                <w:noProof/>
                <w:webHidden/>
              </w:rPr>
              <w:t>15</w:t>
            </w:r>
            <w:r w:rsidR="0042724A">
              <w:rPr>
                <w:noProof/>
                <w:webHidden/>
              </w:rPr>
              <w:fldChar w:fldCharType="end"/>
            </w:r>
          </w:hyperlink>
        </w:p>
        <w:p w14:paraId="05743473" w14:textId="6A754765" w:rsidR="0042724A" w:rsidRDefault="00BF6EA6">
          <w:pPr>
            <w:pStyle w:val="TOC3"/>
            <w:rPr>
              <w:rFonts w:asciiTheme="minorHAnsi" w:eastAsiaTheme="minorEastAsia" w:hAnsiTheme="minorHAnsi"/>
              <w:sz w:val="22"/>
            </w:rPr>
          </w:pPr>
          <w:hyperlink w:anchor="_Toc16886243" w:history="1">
            <w:r w:rsidR="0042724A" w:rsidRPr="008C3FE7">
              <w:rPr>
                <w:rStyle w:val="Hyperlink"/>
                <w:rFonts w:cs="Times New Roman"/>
              </w:rPr>
              <w:t>Note:</w:t>
            </w:r>
            <w:r w:rsidR="0042724A" w:rsidRPr="008C3FE7">
              <w:rPr>
                <w:rStyle w:val="Hyperlink"/>
                <w:rFonts w:cs="Times New Roman"/>
                <w:i/>
              </w:rPr>
              <w:t xml:space="preserve"> Trump v. Hawaii</w:t>
            </w:r>
            <w:r w:rsidR="0042724A" w:rsidRPr="008C3FE7">
              <w:rPr>
                <w:rStyle w:val="Hyperlink"/>
                <w:rFonts w:cs="Times New Roman"/>
              </w:rPr>
              <w:t xml:space="preserve"> (2018)</w:t>
            </w:r>
            <w:r w:rsidR="0042724A">
              <w:rPr>
                <w:webHidden/>
              </w:rPr>
              <w:tab/>
            </w:r>
            <w:r w:rsidR="0042724A">
              <w:rPr>
                <w:webHidden/>
              </w:rPr>
              <w:fldChar w:fldCharType="begin"/>
            </w:r>
            <w:r w:rsidR="0042724A">
              <w:rPr>
                <w:webHidden/>
              </w:rPr>
              <w:instrText xml:space="preserve"> PAGEREF _Toc16886243 \h </w:instrText>
            </w:r>
            <w:r w:rsidR="0042724A">
              <w:rPr>
                <w:webHidden/>
              </w:rPr>
            </w:r>
            <w:r w:rsidR="0042724A">
              <w:rPr>
                <w:webHidden/>
              </w:rPr>
              <w:fldChar w:fldCharType="separate"/>
            </w:r>
            <w:r w:rsidR="0042724A">
              <w:rPr>
                <w:webHidden/>
              </w:rPr>
              <w:t>23</w:t>
            </w:r>
            <w:r w:rsidR="0042724A">
              <w:rPr>
                <w:webHidden/>
              </w:rPr>
              <w:fldChar w:fldCharType="end"/>
            </w:r>
          </w:hyperlink>
        </w:p>
        <w:p w14:paraId="560CCDDB" w14:textId="3EC805E6" w:rsidR="0042724A" w:rsidRDefault="00BF6EA6">
          <w:pPr>
            <w:pStyle w:val="TOC1"/>
            <w:tabs>
              <w:tab w:val="right" w:leader="dot" w:pos="9350"/>
            </w:tabs>
            <w:rPr>
              <w:rFonts w:asciiTheme="minorHAnsi" w:eastAsiaTheme="minorEastAsia" w:hAnsiTheme="minorHAnsi"/>
              <w:noProof/>
              <w:sz w:val="22"/>
            </w:rPr>
          </w:pPr>
          <w:hyperlink w:anchor="_Toc16886244" w:history="1">
            <w:r w:rsidR="0042724A" w:rsidRPr="008C3FE7">
              <w:rPr>
                <w:rStyle w:val="Hyperlink"/>
                <w:rFonts w:cs="Times New Roman"/>
                <w:noProof/>
              </w:rPr>
              <w:t>Chapter 7. Limits on State Power. Part II, The Dormant Commerce Clause, Section G</w:t>
            </w:r>
            <w:r w:rsidR="0042724A">
              <w:rPr>
                <w:noProof/>
                <w:webHidden/>
              </w:rPr>
              <w:tab/>
            </w:r>
            <w:r w:rsidR="0042724A">
              <w:rPr>
                <w:noProof/>
                <w:webHidden/>
              </w:rPr>
              <w:fldChar w:fldCharType="begin"/>
            </w:r>
            <w:r w:rsidR="0042724A">
              <w:rPr>
                <w:noProof/>
                <w:webHidden/>
              </w:rPr>
              <w:instrText xml:space="preserve"> PAGEREF _Toc16886244 \h </w:instrText>
            </w:r>
            <w:r w:rsidR="0042724A">
              <w:rPr>
                <w:noProof/>
                <w:webHidden/>
              </w:rPr>
            </w:r>
            <w:r w:rsidR="0042724A">
              <w:rPr>
                <w:noProof/>
                <w:webHidden/>
              </w:rPr>
              <w:fldChar w:fldCharType="separate"/>
            </w:r>
            <w:r w:rsidR="0042724A">
              <w:rPr>
                <w:noProof/>
                <w:webHidden/>
              </w:rPr>
              <w:t>27</w:t>
            </w:r>
            <w:r w:rsidR="0042724A">
              <w:rPr>
                <w:noProof/>
                <w:webHidden/>
              </w:rPr>
              <w:fldChar w:fldCharType="end"/>
            </w:r>
          </w:hyperlink>
        </w:p>
        <w:p w14:paraId="44423F99" w14:textId="5CA40DA3" w:rsidR="0042724A" w:rsidRDefault="00BF6EA6">
          <w:pPr>
            <w:pStyle w:val="TOC2"/>
            <w:tabs>
              <w:tab w:val="right" w:leader="dot" w:pos="9350"/>
            </w:tabs>
            <w:rPr>
              <w:rFonts w:asciiTheme="minorHAnsi" w:eastAsiaTheme="minorEastAsia" w:hAnsiTheme="minorHAnsi"/>
              <w:noProof/>
              <w:sz w:val="22"/>
            </w:rPr>
          </w:pPr>
          <w:hyperlink w:anchor="_Toc16886245" w:history="1">
            <w:r w:rsidR="0042724A" w:rsidRPr="008C3FE7">
              <w:rPr>
                <w:rStyle w:val="Hyperlink"/>
                <w:rFonts w:eastAsia="Century Schoolbook" w:cs="Times New Roman"/>
                <w:noProof/>
              </w:rPr>
              <w:t>G. The Dormant Commerce Clause and State Taxation of Commerce.</w:t>
            </w:r>
            <w:r w:rsidR="0042724A">
              <w:rPr>
                <w:noProof/>
                <w:webHidden/>
              </w:rPr>
              <w:tab/>
            </w:r>
            <w:r w:rsidR="0042724A">
              <w:rPr>
                <w:noProof/>
                <w:webHidden/>
              </w:rPr>
              <w:fldChar w:fldCharType="begin"/>
            </w:r>
            <w:r w:rsidR="0042724A">
              <w:rPr>
                <w:noProof/>
                <w:webHidden/>
              </w:rPr>
              <w:instrText xml:space="preserve"> PAGEREF _Toc16886245 \h </w:instrText>
            </w:r>
            <w:r w:rsidR="0042724A">
              <w:rPr>
                <w:noProof/>
                <w:webHidden/>
              </w:rPr>
            </w:r>
            <w:r w:rsidR="0042724A">
              <w:rPr>
                <w:noProof/>
                <w:webHidden/>
              </w:rPr>
              <w:fldChar w:fldCharType="separate"/>
            </w:r>
            <w:r w:rsidR="0042724A">
              <w:rPr>
                <w:noProof/>
                <w:webHidden/>
              </w:rPr>
              <w:t>27</w:t>
            </w:r>
            <w:r w:rsidR="0042724A">
              <w:rPr>
                <w:noProof/>
                <w:webHidden/>
              </w:rPr>
              <w:fldChar w:fldCharType="end"/>
            </w:r>
          </w:hyperlink>
        </w:p>
        <w:p w14:paraId="3C8E9FC8" w14:textId="309E1A1A" w:rsidR="0042724A" w:rsidRDefault="00BF6EA6">
          <w:pPr>
            <w:pStyle w:val="TOC3"/>
            <w:rPr>
              <w:rFonts w:asciiTheme="minorHAnsi" w:eastAsiaTheme="minorEastAsia" w:hAnsiTheme="minorHAnsi"/>
              <w:sz w:val="22"/>
            </w:rPr>
          </w:pPr>
          <w:hyperlink w:anchor="_Toc16886246" w:history="1">
            <w:r w:rsidR="0042724A" w:rsidRPr="008C3FE7">
              <w:rPr>
                <w:rStyle w:val="Hyperlink"/>
                <w:rFonts w:eastAsia="Century Schoolbook" w:cs="Times New Roman"/>
              </w:rPr>
              <w:t xml:space="preserve">Note: </w:t>
            </w:r>
            <w:r w:rsidR="0042724A" w:rsidRPr="008C3FE7">
              <w:rPr>
                <w:rStyle w:val="Hyperlink"/>
                <w:rFonts w:eastAsia="Century Schoolbook" w:cs="Times New Roman"/>
                <w:i/>
              </w:rPr>
              <w:t>South Dakota v. Wayfair</w:t>
            </w:r>
            <w:r w:rsidR="0042724A" w:rsidRPr="008C3FE7">
              <w:rPr>
                <w:rStyle w:val="Hyperlink"/>
                <w:rFonts w:eastAsia="Century Schoolbook" w:cs="Times New Roman"/>
              </w:rPr>
              <w:t xml:space="preserve"> (2018)</w:t>
            </w:r>
            <w:r w:rsidR="0042724A">
              <w:rPr>
                <w:webHidden/>
              </w:rPr>
              <w:tab/>
            </w:r>
            <w:r w:rsidR="0042724A">
              <w:rPr>
                <w:webHidden/>
              </w:rPr>
              <w:fldChar w:fldCharType="begin"/>
            </w:r>
            <w:r w:rsidR="0042724A">
              <w:rPr>
                <w:webHidden/>
              </w:rPr>
              <w:instrText xml:space="preserve"> PAGEREF _Toc16886246 \h </w:instrText>
            </w:r>
            <w:r w:rsidR="0042724A">
              <w:rPr>
                <w:webHidden/>
              </w:rPr>
            </w:r>
            <w:r w:rsidR="0042724A">
              <w:rPr>
                <w:webHidden/>
              </w:rPr>
              <w:fldChar w:fldCharType="separate"/>
            </w:r>
            <w:r w:rsidR="0042724A">
              <w:rPr>
                <w:webHidden/>
              </w:rPr>
              <w:t>27</w:t>
            </w:r>
            <w:r w:rsidR="0042724A">
              <w:rPr>
                <w:webHidden/>
              </w:rPr>
              <w:fldChar w:fldCharType="end"/>
            </w:r>
          </w:hyperlink>
        </w:p>
        <w:p w14:paraId="46949545" w14:textId="372C42CC" w:rsidR="0042724A" w:rsidRDefault="00BF6EA6">
          <w:pPr>
            <w:pStyle w:val="TOC1"/>
            <w:tabs>
              <w:tab w:val="right" w:leader="dot" w:pos="9350"/>
            </w:tabs>
            <w:rPr>
              <w:rFonts w:asciiTheme="minorHAnsi" w:eastAsiaTheme="minorEastAsia" w:hAnsiTheme="minorHAnsi"/>
              <w:noProof/>
              <w:sz w:val="22"/>
            </w:rPr>
          </w:pPr>
          <w:hyperlink w:anchor="_Toc16886247" w:history="1">
            <w:r w:rsidR="0042724A" w:rsidRPr="008C3FE7">
              <w:rPr>
                <w:rStyle w:val="Hyperlink"/>
                <w:noProof/>
              </w:rPr>
              <w:t xml:space="preserve">Chapter 8. The Incorporation of the Bill of Rights. Part VI-C-3, Incorporation After </w:t>
            </w:r>
            <w:r w:rsidR="0042724A" w:rsidRPr="008C3FE7">
              <w:rPr>
                <w:rStyle w:val="Hyperlink"/>
                <w:i/>
                <w:noProof/>
              </w:rPr>
              <w:t>Duncan</w:t>
            </w:r>
            <w:r w:rsidR="0042724A" w:rsidRPr="008C3FE7">
              <w:rPr>
                <w:rStyle w:val="Hyperlink"/>
                <w:noProof/>
              </w:rPr>
              <w:t>.</w:t>
            </w:r>
            <w:r w:rsidR="0042724A">
              <w:rPr>
                <w:noProof/>
                <w:webHidden/>
              </w:rPr>
              <w:tab/>
            </w:r>
            <w:r w:rsidR="0042724A">
              <w:rPr>
                <w:noProof/>
                <w:webHidden/>
              </w:rPr>
              <w:fldChar w:fldCharType="begin"/>
            </w:r>
            <w:r w:rsidR="0042724A">
              <w:rPr>
                <w:noProof/>
                <w:webHidden/>
              </w:rPr>
              <w:instrText xml:space="preserve"> PAGEREF _Toc16886247 \h </w:instrText>
            </w:r>
            <w:r w:rsidR="0042724A">
              <w:rPr>
                <w:noProof/>
                <w:webHidden/>
              </w:rPr>
            </w:r>
            <w:r w:rsidR="0042724A">
              <w:rPr>
                <w:noProof/>
                <w:webHidden/>
              </w:rPr>
              <w:fldChar w:fldCharType="separate"/>
            </w:r>
            <w:r w:rsidR="0042724A">
              <w:rPr>
                <w:noProof/>
                <w:webHidden/>
              </w:rPr>
              <w:t>31</w:t>
            </w:r>
            <w:r w:rsidR="0042724A">
              <w:rPr>
                <w:noProof/>
                <w:webHidden/>
              </w:rPr>
              <w:fldChar w:fldCharType="end"/>
            </w:r>
          </w:hyperlink>
        </w:p>
        <w:p w14:paraId="4D2F5B32" w14:textId="26AAD49A" w:rsidR="0042724A" w:rsidRDefault="00BF6EA6">
          <w:pPr>
            <w:pStyle w:val="TOC2"/>
            <w:tabs>
              <w:tab w:val="right" w:leader="dot" w:pos="9350"/>
            </w:tabs>
            <w:rPr>
              <w:rFonts w:asciiTheme="minorHAnsi" w:eastAsiaTheme="minorEastAsia" w:hAnsiTheme="minorHAnsi"/>
              <w:noProof/>
              <w:sz w:val="22"/>
            </w:rPr>
          </w:pPr>
          <w:hyperlink w:anchor="_Toc16886248" w:history="1">
            <w:r w:rsidR="0042724A" w:rsidRPr="008C3FE7">
              <w:rPr>
                <w:rStyle w:val="Hyperlink"/>
                <w:noProof/>
              </w:rPr>
              <w:t>Part IX-B. The Roberts Court and Incorporation</w:t>
            </w:r>
            <w:r w:rsidR="0042724A">
              <w:rPr>
                <w:noProof/>
                <w:webHidden/>
              </w:rPr>
              <w:tab/>
            </w:r>
            <w:r w:rsidR="0042724A">
              <w:rPr>
                <w:noProof/>
                <w:webHidden/>
              </w:rPr>
              <w:fldChar w:fldCharType="begin"/>
            </w:r>
            <w:r w:rsidR="0042724A">
              <w:rPr>
                <w:noProof/>
                <w:webHidden/>
              </w:rPr>
              <w:instrText xml:space="preserve"> PAGEREF _Toc16886248 \h </w:instrText>
            </w:r>
            <w:r w:rsidR="0042724A">
              <w:rPr>
                <w:noProof/>
                <w:webHidden/>
              </w:rPr>
            </w:r>
            <w:r w:rsidR="0042724A">
              <w:rPr>
                <w:noProof/>
                <w:webHidden/>
              </w:rPr>
              <w:fldChar w:fldCharType="separate"/>
            </w:r>
            <w:r w:rsidR="0042724A">
              <w:rPr>
                <w:noProof/>
                <w:webHidden/>
              </w:rPr>
              <w:t>31</w:t>
            </w:r>
            <w:r w:rsidR="0042724A">
              <w:rPr>
                <w:noProof/>
                <w:webHidden/>
              </w:rPr>
              <w:fldChar w:fldCharType="end"/>
            </w:r>
          </w:hyperlink>
        </w:p>
        <w:p w14:paraId="2CCA72EB" w14:textId="4977B1E2" w:rsidR="0042724A" w:rsidRDefault="00BF6EA6">
          <w:pPr>
            <w:pStyle w:val="TOC2"/>
            <w:tabs>
              <w:tab w:val="right" w:leader="dot" w:pos="9350"/>
            </w:tabs>
            <w:rPr>
              <w:rFonts w:asciiTheme="minorHAnsi" w:eastAsiaTheme="minorEastAsia" w:hAnsiTheme="minorHAnsi"/>
              <w:noProof/>
              <w:sz w:val="22"/>
            </w:rPr>
          </w:pPr>
          <w:hyperlink w:anchor="_Toc16886249" w:history="1">
            <w:r w:rsidR="0042724A" w:rsidRPr="008C3FE7">
              <w:rPr>
                <w:rStyle w:val="Hyperlink"/>
                <w:noProof/>
              </w:rPr>
              <w:t xml:space="preserve">Part B. Note: </w:t>
            </w:r>
            <w:r w:rsidR="0042724A" w:rsidRPr="008C3FE7">
              <w:rPr>
                <w:rStyle w:val="Hyperlink"/>
                <w:i/>
                <w:noProof/>
              </w:rPr>
              <w:t>Timbs v. Indiana</w:t>
            </w:r>
            <w:r w:rsidR="0042724A" w:rsidRPr="008C3FE7">
              <w:rPr>
                <w:rStyle w:val="Hyperlink"/>
                <w:noProof/>
              </w:rPr>
              <w:t xml:space="preserve"> (2019).</w:t>
            </w:r>
            <w:r w:rsidR="0042724A">
              <w:rPr>
                <w:noProof/>
                <w:webHidden/>
              </w:rPr>
              <w:tab/>
            </w:r>
            <w:r w:rsidR="0042724A">
              <w:rPr>
                <w:noProof/>
                <w:webHidden/>
              </w:rPr>
              <w:fldChar w:fldCharType="begin"/>
            </w:r>
            <w:r w:rsidR="0042724A">
              <w:rPr>
                <w:noProof/>
                <w:webHidden/>
              </w:rPr>
              <w:instrText xml:space="preserve"> PAGEREF _Toc16886249 \h </w:instrText>
            </w:r>
            <w:r w:rsidR="0042724A">
              <w:rPr>
                <w:noProof/>
                <w:webHidden/>
              </w:rPr>
            </w:r>
            <w:r w:rsidR="0042724A">
              <w:rPr>
                <w:noProof/>
                <w:webHidden/>
              </w:rPr>
              <w:fldChar w:fldCharType="separate"/>
            </w:r>
            <w:r w:rsidR="0042724A">
              <w:rPr>
                <w:noProof/>
                <w:webHidden/>
              </w:rPr>
              <w:t>31</w:t>
            </w:r>
            <w:r w:rsidR="0042724A">
              <w:rPr>
                <w:noProof/>
                <w:webHidden/>
              </w:rPr>
              <w:fldChar w:fldCharType="end"/>
            </w:r>
          </w:hyperlink>
        </w:p>
        <w:p w14:paraId="6DA76E78" w14:textId="2E6DC819" w:rsidR="0042724A" w:rsidRDefault="00BF6EA6">
          <w:pPr>
            <w:pStyle w:val="TOC1"/>
            <w:tabs>
              <w:tab w:val="right" w:leader="dot" w:pos="9350"/>
            </w:tabs>
            <w:rPr>
              <w:rFonts w:asciiTheme="minorHAnsi" w:eastAsiaTheme="minorEastAsia" w:hAnsiTheme="minorHAnsi"/>
              <w:noProof/>
              <w:sz w:val="22"/>
            </w:rPr>
          </w:pPr>
          <w:hyperlink w:anchor="_Toc16886250" w:history="1">
            <w:r w:rsidR="0042724A" w:rsidRPr="008C3FE7">
              <w:rPr>
                <w:rStyle w:val="Hyperlink"/>
                <w:rFonts w:cs="Times New Roman"/>
                <w:noProof/>
              </w:rPr>
              <w:t>Chapter 9. Equal Protection. Section XI, Equal Protection and Fundamental Rights, Part A, The Right to Vote.</w:t>
            </w:r>
            <w:r w:rsidR="0042724A">
              <w:rPr>
                <w:noProof/>
                <w:webHidden/>
              </w:rPr>
              <w:tab/>
            </w:r>
            <w:r w:rsidR="0042724A">
              <w:rPr>
                <w:noProof/>
                <w:webHidden/>
              </w:rPr>
              <w:fldChar w:fldCharType="begin"/>
            </w:r>
            <w:r w:rsidR="0042724A">
              <w:rPr>
                <w:noProof/>
                <w:webHidden/>
              </w:rPr>
              <w:instrText xml:space="preserve"> PAGEREF _Toc16886250 \h </w:instrText>
            </w:r>
            <w:r w:rsidR="0042724A">
              <w:rPr>
                <w:noProof/>
                <w:webHidden/>
              </w:rPr>
            </w:r>
            <w:r w:rsidR="0042724A">
              <w:rPr>
                <w:noProof/>
                <w:webHidden/>
              </w:rPr>
              <w:fldChar w:fldCharType="separate"/>
            </w:r>
            <w:r w:rsidR="0042724A">
              <w:rPr>
                <w:noProof/>
                <w:webHidden/>
              </w:rPr>
              <w:t>33</w:t>
            </w:r>
            <w:r w:rsidR="0042724A">
              <w:rPr>
                <w:noProof/>
                <w:webHidden/>
              </w:rPr>
              <w:fldChar w:fldCharType="end"/>
            </w:r>
          </w:hyperlink>
        </w:p>
        <w:p w14:paraId="4B45EE46" w14:textId="4EB01F0D" w:rsidR="0042724A" w:rsidRDefault="00BF6EA6">
          <w:pPr>
            <w:pStyle w:val="TOC2"/>
            <w:tabs>
              <w:tab w:val="right" w:leader="dot" w:pos="9350"/>
            </w:tabs>
            <w:rPr>
              <w:rFonts w:asciiTheme="minorHAnsi" w:eastAsiaTheme="minorEastAsia" w:hAnsiTheme="minorHAnsi"/>
              <w:noProof/>
              <w:sz w:val="22"/>
            </w:rPr>
          </w:pPr>
          <w:hyperlink w:anchor="_Toc16886251" w:history="1">
            <w:r w:rsidR="0042724A" w:rsidRPr="008C3FE7">
              <w:rPr>
                <w:rStyle w:val="Hyperlink"/>
                <w:rFonts w:cs="Times New Roman"/>
                <w:i/>
                <w:noProof/>
              </w:rPr>
              <w:t>Cooper v. Harris</w:t>
            </w:r>
            <w:r w:rsidR="0042724A" w:rsidRPr="008C3FE7">
              <w:rPr>
                <w:rStyle w:val="Hyperlink"/>
                <w:rFonts w:cs="Times New Roman"/>
                <w:noProof/>
              </w:rPr>
              <w:t xml:space="preserve"> (2017): Background and Case</w:t>
            </w:r>
            <w:r w:rsidR="0042724A">
              <w:rPr>
                <w:noProof/>
                <w:webHidden/>
              </w:rPr>
              <w:tab/>
            </w:r>
            <w:r w:rsidR="0042724A">
              <w:rPr>
                <w:noProof/>
                <w:webHidden/>
              </w:rPr>
              <w:fldChar w:fldCharType="begin"/>
            </w:r>
            <w:r w:rsidR="0042724A">
              <w:rPr>
                <w:noProof/>
                <w:webHidden/>
              </w:rPr>
              <w:instrText xml:space="preserve"> PAGEREF _Toc16886251 \h </w:instrText>
            </w:r>
            <w:r w:rsidR="0042724A">
              <w:rPr>
                <w:noProof/>
                <w:webHidden/>
              </w:rPr>
            </w:r>
            <w:r w:rsidR="0042724A">
              <w:rPr>
                <w:noProof/>
                <w:webHidden/>
              </w:rPr>
              <w:fldChar w:fldCharType="separate"/>
            </w:r>
            <w:r w:rsidR="0042724A">
              <w:rPr>
                <w:noProof/>
                <w:webHidden/>
              </w:rPr>
              <w:t>33</w:t>
            </w:r>
            <w:r w:rsidR="0042724A">
              <w:rPr>
                <w:noProof/>
                <w:webHidden/>
              </w:rPr>
              <w:fldChar w:fldCharType="end"/>
            </w:r>
          </w:hyperlink>
        </w:p>
        <w:p w14:paraId="54D2D6DC" w14:textId="25115C36" w:rsidR="0042724A" w:rsidRDefault="00BF6EA6">
          <w:pPr>
            <w:pStyle w:val="TOC2"/>
            <w:tabs>
              <w:tab w:val="right" w:leader="dot" w:pos="9350"/>
            </w:tabs>
            <w:rPr>
              <w:rFonts w:asciiTheme="minorHAnsi" w:eastAsiaTheme="minorEastAsia" w:hAnsiTheme="minorHAnsi"/>
              <w:noProof/>
              <w:sz w:val="22"/>
            </w:rPr>
          </w:pPr>
          <w:hyperlink w:anchor="_Toc16886252" w:history="1">
            <w:r w:rsidR="0042724A" w:rsidRPr="008C3FE7">
              <w:rPr>
                <w:rStyle w:val="Hyperlink"/>
                <w:rFonts w:cs="Times New Roman"/>
                <w:noProof/>
              </w:rPr>
              <w:t xml:space="preserve">Note: </w:t>
            </w:r>
            <w:r w:rsidR="0042724A" w:rsidRPr="008C3FE7">
              <w:rPr>
                <w:rStyle w:val="Hyperlink"/>
                <w:rFonts w:cs="Times New Roman"/>
                <w:i/>
                <w:noProof/>
              </w:rPr>
              <w:t>Covington v. North Carolina</w:t>
            </w:r>
            <w:r w:rsidR="0042724A" w:rsidRPr="008C3FE7">
              <w:rPr>
                <w:rStyle w:val="Hyperlink"/>
                <w:rFonts w:cs="Times New Roman"/>
                <w:noProof/>
              </w:rPr>
              <w:t>, 316 F.R.D. 117 (MDNC 2016)</w:t>
            </w:r>
            <w:r w:rsidR="0042724A">
              <w:rPr>
                <w:noProof/>
                <w:webHidden/>
              </w:rPr>
              <w:tab/>
            </w:r>
            <w:r w:rsidR="0042724A">
              <w:rPr>
                <w:noProof/>
                <w:webHidden/>
              </w:rPr>
              <w:fldChar w:fldCharType="begin"/>
            </w:r>
            <w:r w:rsidR="0042724A">
              <w:rPr>
                <w:noProof/>
                <w:webHidden/>
              </w:rPr>
              <w:instrText xml:space="preserve"> PAGEREF _Toc16886252 \h </w:instrText>
            </w:r>
            <w:r w:rsidR="0042724A">
              <w:rPr>
                <w:noProof/>
                <w:webHidden/>
              </w:rPr>
            </w:r>
            <w:r w:rsidR="0042724A">
              <w:rPr>
                <w:noProof/>
                <w:webHidden/>
              </w:rPr>
              <w:fldChar w:fldCharType="separate"/>
            </w:r>
            <w:r w:rsidR="0042724A">
              <w:rPr>
                <w:noProof/>
                <w:webHidden/>
              </w:rPr>
              <w:t>42</w:t>
            </w:r>
            <w:r w:rsidR="0042724A">
              <w:rPr>
                <w:noProof/>
                <w:webHidden/>
              </w:rPr>
              <w:fldChar w:fldCharType="end"/>
            </w:r>
          </w:hyperlink>
        </w:p>
        <w:p w14:paraId="3789912F" w14:textId="3CF774E4" w:rsidR="0042724A" w:rsidRDefault="00BF6EA6">
          <w:pPr>
            <w:pStyle w:val="TOC2"/>
            <w:tabs>
              <w:tab w:val="right" w:leader="dot" w:pos="9350"/>
            </w:tabs>
            <w:rPr>
              <w:rFonts w:asciiTheme="minorHAnsi" w:eastAsiaTheme="minorEastAsia" w:hAnsiTheme="minorHAnsi"/>
              <w:noProof/>
              <w:sz w:val="22"/>
            </w:rPr>
          </w:pPr>
          <w:hyperlink w:anchor="_Toc16886253" w:history="1">
            <w:r w:rsidR="0042724A" w:rsidRPr="008C3FE7">
              <w:rPr>
                <w:rStyle w:val="Hyperlink"/>
                <w:rFonts w:cs="Times New Roman"/>
                <w:noProof/>
              </w:rPr>
              <w:t xml:space="preserve">Note: </w:t>
            </w:r>
            <w:r w:rsidR="0042724A" w:rsidRPr="008C3FE7">
              <w:rPr>
                <w:rStyle w:val="Hyperlink"/>
                <w:rFonts w:cs="Times New Roman"/>
                <w:i/>
                <w:noProof/>
              </w:rPr>
              <w:t>Gill v. Whitford</w:t>
            </w:r>
            <w:r w:rsidR="0042724A" w:rsidRPr="008C3FE7">
              <w:rPr>
                <w:rStyle w:val="Hyperlink"/>
                <w:rFonts w:cs="Times New Roman"/>
                <w:noProof/>
              </w:rPr>
              <w:t xml:space="preserve"> (2018)</w:t>
            </w:r>
            <w:r w:rsidR="0042724A">
              <w:rPr>
                <w:noProof/>
                <w:webHidden/>
              </w:rPr>
              <w:tab/>
            </w:r>
            <w:r w:rsidR="0042724A">
              <w:rPr>
                <w:noProof/>
                <w:webHidden/>
              </w:rPr>
              <w:fldChar w:fldCharType="begin"/>
            </w:r>
            <w:r w:rsidR="0042724A">
              <w:rPr>
                <w:noProof/>
                <w:webHidden/>
              </w:rPr>
              <w:instrText xml:space="preserve"> PAGEREF _Toc16886253 \h </w:instrText>
            </w:r>
            <w:r w:rsidR="0042724A">
              <w:rPr>
                <w:noProof/>
                <w:webHidden/>
              </w:rPr>
            </w:r>
            <w:r w:rsidR="0042724A">
              <w:rPr>
                <w:noProof/>
                <w:webHidden/>
              </w:rPr>
              <w:fldChar w:fldCharType="separate"/>
            </w:r>
            <w:r w:rsidR="0042724A">
              <w:rPr>
                <w:noProof/>
                <w:webHidden/>
              </w:rPr>
              <w:t>43</w:t>
            </w:r>
            <w:r w:rsidR="0042724A">
              <w:rPr>
                <w:noProof/>
                <w:webHidden/>
              </w:rPr>
              <w:fldChar w:fldCharType="end"/>
            </w:r>
          </w:hyperlink>
        </w:p>
        <w:p w14:paraId="33939B0E" w14:textId="680C6373" w:rsidR="0042724A" w:rsidRDefault="00BF6EA6">
          <w:pPr>
            <w:pStyle w:val="TOC2"/>
            <w:tabs>
              <w:tab w:val="right" w:leader="dot" w:pos="9350"/>
            </w:tabs>
            <w:rPr>
              <w:rFonts w:asciiTheme="minorHAnsi" w:eastAsiaTheme="minorEastAsia" w:hAnsiTheme="minorHAnsi"/>
              <w:noProof/>
              <w:sz w:val="22"/>
            </w:rPr>
          </w:pPr>
          <w:hyperlink w:anchor="_Toc16886254" w:history="1">
            <w:r w:rsidR="0042724A" w:rsidRPr="008C3FE7">
              <w:rPr>
                <w:rStyle w:val="Hyperlink"/>
                <w:noProof/>
              </w:rPr>
              <w:t xml:space="preserve">Note: </w:t>
            </w:r>
            <w:r w:rsidR="0042724A" w:rsidRPr="008C3FE7">
              <w:rPr>
                <w:rStyle w:val="Hyperlink"/>
                <w:i/>
                <w:noProof/>
              </w:rPr>
              <w:t>Rucho v. Common Cause</w:t>
            </w:r>
            <w:r w:rsidR="0042724A" w:rsidRPr="008C3FE7">
              <w:rPr>
                <w:rStyle w:val="Hyperlink"/>
                <w:noProof/>
              </w:rPr>
              <w:t xml:space="preserve"> (2019)</w:t>
            </w:r>
            <w:r w:rsidR="0042724A">
              <w:rPr>
                <w:noProof/>
                <w:webHidden/>
              </w:rPr>
              <w:tab/>
            </w:r>
            <w:r w:rsidR="0042724A">
              <w:rPr>
                <w:noProof/>
                <w:webHidden/>
              </w:rPr>
              <w:fldChar w:fldCharType="begin"/>
            </w:r>
            <w:r w:rsidR="0042724A">
              <w:rPr>
                <w:noProof/>
                <w:webHidden/>
              </w:rPr>
              <w:instrText xml:space="preserve"> PAGEREF _Toc16886254 \h </w:instrText>
            </w:r>
            <w:r w:rsidR="0042724A">
              <w:rPr>
                <w:noProof/>
                <w:webHidden/>
              </w:rPr>
            </w:r>
            <w:r w:rsidR="0042724A">
              <w:rPr>
                <w:noProof/>
                <w:webHidden/>
              </w:rPr>
              <w:fldChar w:fldCharType="separate"/>
            </w:r>
            <w:r w:rsidR="0042724A">
              <w:rPr>
                <w:noProof/>
                <w:webHidden/>
              </w:rPr>
              <w:t>45</w:t>
            </w:r>
            <w:r w:rsidR="0042724A">
              <w:rPr>
                <w:noProof/>
                <w:webHidden/>
              </w:rPr>
              <w:fldChar w:fldCharType="end"/>
            </w:r>
          </w:hyperlink>
        </w:p>
        <w:p w14:paraId="40B03FE7" w14:textId="06965E8D" w:rsidR="0042724A" w:rsidRDefault="00BF6EA6">
          <w:pPr>
            <w:pStyle w:val="TOC1"/>
            <w:tabs>
              <w:tab w:val="right" w:leader="dot" w:pos="9350"/>
            </w:tabs>
            <w:rPr>
              <w:rFonts w:asciiTheme="minorHAnsi" w:eastAsiaTheme="minorEastAsia" w:hAnsiTheme="minorHAnsi"/>
              <w:noProof/>
              <w:sz w:val="22"/>
            </w:rPr>
          </w:pPr>
          <w:hyperlink w:anchor="_Toc16886255" w:history="1">
            <w:r w:rsidR="0042724A" w:rsidRPr="008C3FE7">
              <w:rPr>
                <w:rStyle w:val="Hyperlink"/>
                <w:rFonts w:cs="Times New Roman"/>
                <w:noProof/>
              </w:rPr>
              <w:t>Chapter 11. Freedom of Speech and Press</w:t>
            </w:r>
            <w:r w:rsidR="0042724A">
              <w:rPr>
                <w:noProof/>
                <w:webHidden/>
              </w:rPr>
              <w:tab/>
            </w:r>
            <w:r w:rsidR="0042724A">
              <w:rPr>
                <w:noProof/>
                <w:webHidden/>
              </w:rPr>
              <w:fldChar w:fldCharType="begin"/>
            </w:r>
            <w:r w:rsidR="0042724A">
              <w:rPr>
                <w:noProof/>
                <w:webHidden/>
              </w:rPr>
              <w:instrText xml:space="preserve"> PAGEREF _Toc16886255 \h </w:instrText>
            </w:r>
            <w:r w:rsidR="0042724A">
              <w:rPr>
                <w:noProof/>
                <w:webHidden/>
              </w:rPr>
            </w:r>
            <w:r w:rsidR="0042724A">
              <w:rPr>
                <w:noProof/>
                <w:webHidden/>
              </w:rPr>
              <w:fldChar w:fldCharType="separate"/>
            </w:r>
            <w:r w:rsidR="0042724A">
              <w:rPr>
                <w:noProof/>
                <w:webHidden/>
              </w:rPr>
              <w:t>49</w:t>
            </w:r>
            <w:r w:rsidR="0042724A">
              <w:rPr>
                <w:noProof/>
                <w:webHidden/>
              </w:rPr>
              <w:fldChar w:fldCharType="end"/>
            </w:r>
          </w:hyperlink>
        </w:p>
        <w:p w14:paraId="44905643" w14:textId="2E97793C" w:rsidR="0042724A" w:rsidRDefault="00BF6EA6">
          <w:pPr>
            <w:pStyle w:val="TOC2"/>
            <w:tabs>
              <w:tab w:val="right" w:leader="dot" w:pos="9350"/>
            </w:tabs>
            <w:rPr>
              <w:rFonts w:asciiTheme="minorHAnsi" w:eastAsiaTheme="minorEastAsia" w:hAnsiTheme="minorHAnsi"/>
              <w:noProof/>
              <w:sz w:val="22"/>
            </w:rPr>
          </w:pPr>
          <w:hyperlink w:anchor="_Toc16886256" w:history="1">
            <w:r w:rsidR="0042724A" w:rsidRPr="008C3FE7">
              <w:rPr>
                <w:rStyle w:val="Hyperlink"/>
                <w:noProof/>
              </w:rPr>
              <w:t>Part II, Section XI, Indecent Speech.</w:t>
            </w:r>
            <w:r w:rsidR="0042724A">
              <w:rPr>
                <w:noProof/>
                <w:webHidden/>
              </w:rPr>
              <w:tab/>
            </w:r>
            <w:r w:rsidR="0042724A">
              <w:rPr>
                <w:noProof/>
                <w:webHidden/>
              </w:rPr>
              <w:fldChar w:fldCharType="begin"/>
            </w:r>
            <w:r w:rsidR="0042724A">
              <w:rPr>
                <w:noProof/>
                <w:webHidden/>
              </w:rPr>
              <w:instrText xml:space="preserve"> PAGEREF _Toc16886256 \h </w:instrText>
            </w:r>
            <w:r w:rsidR="0042724A">
              <w:rPr>
                <w:noProof/>
                <w:webHidden/>
              </w:rPr>
            </w:r>
            <w:r w:rsidR="0042724A">
              <w:rPr>
                <w:noProof/>
                <w:webHidden/>
              </w:rPr>
              <w:fldChar w:fldCharType="separate"/>
            </w:r>
            <w:r w:rsidR="0042724A">
              <w:rPr>
                <w:noProof/>
                <w:webHidden/>
              </w:rPr>
              <w:t>49</w:t>
            </w:r>
            <w:r w:rsidR="0042724A">
              <w:rPr>
                <w:noProof/>
                <w:webHidden/>
              </w:rPr>
              <w:fldChar w:fldCharType="end"/>
            </w:r>
          </w:hyperlink>
        </w:p>
        <w:p w14:paraId="704A1DE8" w14:textId="4344AB7D" w:rsidR="0042724A" w:rsidRDefault="00BF6EA6">
          <w:pPr>
            <w:pStyle w:val="TOC3"/>
            <w:rPr>
              <w:rFonts w:asciiTheme="minorHAnsi" w:eastAsiaTheme="minorEastAsia" w:hAnsiTheme="minorHAnsi"/>
              <w:sz w:val="22"/>
            </w:rPr>
          </w:pPr>
          <w:hyperlink w:anchor="_Toc16886257" w:history="1">
            <w:r w:rsidR="0042724A" w:rsidRPr="008C3FE7">
              <w:rPr>
                <w:rStyle w:val="Hyperlink"/>
              </w:rPr>
              <w:t xml:space="preserve">Note: </w:t>
            </w:r>
            <w:r w:rsidR="0042724A" w:rsidRPr="008C3FE7">
              <w:rPr>
                <w:rStyle w:val="Hyperlink"/>
                <w:i/>
              </w:rPr>
              <w:t>Iancu v. Brunetti</w:t>
            </w:r>
            <w:r w:rsidR="0042724A" w:rsidRPr="008C3FE7">
              <w:rPr>
                <w:rStyle w:val="Hyperlink"/>
              </w:rPr>
              <w:t xml:space="preserve"> (2019)</w:t>
            </w:r>
            <w:r w:rsidR="0042724A">
              <w:rPr>
                <w:webHidden/>
              </w:rPr>
              <w:tab/>
            </w:r>
            <w:r w:rsidR="0042724A">
              <w:rPr>
                <w:webHidden/>
              </w:rPr>
              <w:fldChar w:fldCharType="begin"/>
            </w:r>
            <w:r w:rsidR="0042724A">
              <w:rPr>
                <w:webHidden/>
              </w:rPr>
              <w:instrText xml:space="preserve"> PAGEREF _Toc16886257 \h </w:instrText>
            </w:r>
            <w:r w:rsidR="0042724A">
              <w:rPr>
                <w:webHidden/>
              </w:rPr>
            </w:r>
            <w:r w:rsidR="0042724A">
              <w:rPr>
                <w:webHidden/>
              </w:rPr>
              <w:fldChar w:fldCharType="separate"/>
            </w:r>
            <w:r w:rsidR="0042724A">
              <w:rPr>
                <w:webHidden/>
              </w:rPr>
              <w:t>49</w:t>
            </w:r>
            <w:r w:rsidR="0042724A">
              <w:rPr>
                <w:webHidden/>
              </w:rPr>
              <w:fldChar w:fldCharType="end"/>
            </w:r>
          </w:hyperlink>
        </w:p>
        <w:p w14:paraId="666A37C1" w14:textId="60C61E85" w:rsidR="0042724A" w:rsidRDefault="00BF6EA6">
          <w:pPr>
            <w:pStyle w:val="TOC2"/>
            <w:tabs>
              <w:tab w:val="right" w:leader="dot" w:pos="9350"/>
            </w:tabs>
            <w:rPr>
              <w:rFonts w:asciiTheme="minorHAnsi" w:eastAsiaTheme="minorEastAsia" w:hAnsiTheme="minorHAnsi"/>
              <w:noProof/>
              <w:sz w:val="22"/>
            </w:rPr>
          </w:pPr>
          <w:hyperlink w:anchor="_Toc16886258" w:history="1">
            <w:r w:rsidR="0042724A" w:rsidRPr="008C3FE7">
              <w:rPr>
                <w:rStyle w:val="Hyperlink"/>
                <w:rFonts w:cs="Times New Roman"/>
                <w:noProof/>
              </w:rPr>
              <w:t>Part II, Section XVII, Commercial Speech</w:t>
            </w:r>
            <w:r w:rsidR="0042724A">
              <w:rPr>
                <w:noProof/>
                <w:webHidden/>
              </w:rPr>
              <w:tab/>
            </w:r>
            <w:r w:rsidR="0042724A">
              <w:rPr>
                <w:noProof/>
                <w:webHidden/>
              </w:rPr>
              <w:fldChar w:fldCharType="begin"/>
            </w:r>
            <w:r w:rsidR="0042724A">
              <w:rPr>
                <w:noProof/>
                <w:webHidden/>
              </w:rPr>
              <w:instrText xml:space="preserve"> PAGEREF _Toc16886258 \h </w:instrText>
            </w:r>
            <w:r w:rsidR="0042724A">
              <w:rPr>
                <w:noProof/>
                <w:webHidden/>
              </w:rPr>
            </w:r>
            <w:r w:rsidR="0042724A">
              <w:rPr>
                <w:noProof/>
                <w:webHidden/>
              </w:rPr>
              <w:fldChar w:fldCharType="separate"/>
            </w:r>
            <w:r w:rsidR="0042724A">
              <w:rPr>
                <w:noProof/>
                <w:webHidden/>
              </w:rPr>
              <w:t>52</w:t>
            </w:r>
            <w:r w:rsidR="0042724A">
              <w:rPr>
                <w:noProof/>
                <w:webHidden/>
              </w:rPr>
              <w:fldChar w:fldCharType="end"/>
            </w:r>
          </w:hyperlink>
        </w:p>
        <w:p w14:paraId="13E9C54D" w14:textId="6615C238" w:rsidR="0042724A" w:rsidRDefault="00BF6EA6">
          <w:pPr>
            <w:pStyle w:val="TOC3"/>
            <w:rPr>
              <w:rFonts w:asciiTheme="minorHAnsi" w:eastAsiaTheme="minorEastAsia" w:hAnsiTheme="minorHAnsi"/>
              <w:sz w:val="22"/>
            </w:rPr>
          </w:pPr>
          <w:hyperlink w:anchor="_Toc16886259" w:history="1">
            <w:r w:rsidR="0042724A" w:rsidRPr="0042724A">
              <w:rPr>
                <w:rStyle w:val="Hyperlink"/>
                <w:i/>
              </w:rPr>
              <w:t>National Institute of Family and Life Advocates v. Becerra</w:t>
            </w:r>
            <w:r w:rsidR="0042724A">
              <w:rPr>
                <w:webHidden/>
              </w:rPr>
              <w:tab/>
            </w:r>
            <w:r w:rsidR="0042724A">
              <w:rPr>
                <w:webHidden/>
              </w:rPr>
              <w:fldChar w:fldCharType="begin"/>
            </w:r>
            <w:r w:rsidR="0042724A">
              <w:rPr>
                <w:webHidden/>
              </w:rPr>
              <w:instrText xml:space="preserve"> PAGEREF _Toc16886259 \h </w:instrText>
            </w:r>
            <w:r w:rsidR="0042724A">
              <w:rPr>
                <w:webHidden/>
              </w:rPr>
            </w:r>
            <w:r w:rsidR="0042724A">
              <w:rPr>
                <w:webHidden/>
              </w:rPr>
              <w:fldChar w:fldCharType="separate"/>
            </w:r>
            <w:r w:rsidR="0042724A">
              <w:rPr>
                <w:webHidden/>
              </w:rPr>
              <w:t>52</w:t>
            </w:r>
            <w:r w:rsidR="0042724A">
              <w:rPr>
                <w:webHidden/>
              </w:rPr>
              <w:fldChar w:fldCharType="end"/>
            </w:r>
          </w:hyperlink>
        </w:p>
        <w:p w14:paraId="0A42DAD1" w14:textId="195776A7" w:rsidR="0042724A" w:rsidRDefault="00BF6EA6">
          <w:pPr>
            <w:pStyle w:val="TOC2"/>
            <w:tabs>
              <w:tab w:val="right" w:leader="dot" w:pos="9350"/>
            </w:tabs>
            <w:rPr>
              <w:rFonts w:asciiTheme="minorHAnsi" w:eastAsiaTheme="minorEastAsia" w:hAnsiTheme="minorHAnsi"/>
              <w:noProof/>
              <w:sz w:val="22"/>
            </w:rPr>
          </w:pPr>
          <w:hyperlink w:anchor="_Toc16886260" w:history="1">
            <w:r w:rsidR="0042724A" w:rsidRPr="008C3FE7">
              <w:rPr>
                <w:rStyle w:val="Hyperlink"/>
                <w:noProof/>
              </w:rPr>
              <w:t>Part II, Section XV. Symbols and Silence: Compelled Affirmation.</w:t>
            </w:r>
            <w:r w:rsidR="0042724A">
              <w:rPr>
                <w:noProof/>
                <w:webHidden/>
              </w:rPr>
              <w:tab/>
            </w:r>
            <w:r w:rsidR="0042724A">
              <w:rPr>
                <w:noProof/>
                <w:webHidden/>
              </w:rPr>
              <w:fldChar w:fldCharType="begin"/>
            </w:r>
            <w:r w:rsidR="0042724A">
              <w:rPr>
                <w:noProof/>
                <w:webHidden/>
              </w:rPr>
              <w:instrText xml:space="preserve"> PAGEREF _Toc16886260 \h </w:instrText>
            </w:r>
            <w:r w:rsidR="0042724A">
              <w:rPr>
                <w:noProof/>
                <w:webHidden/>
              </w:rPr>
            </w:r>
            <w:r w:rsidR="0042724A">
              <w:rPr>
                <w:noProof/>
                <w:webHidden/>
              </w:rPr>
              <w:fldChar w:fldCharType="separate"/>
            </w:r>
            <w:r w:rsidR="0042724A">
              <w:rPr>
                <w:noProof/>
                <w:webHidden/>
              </w:rPr>
              <w:t>61</w:t>
            </w:r>
            <w:r w:rsidR="0042724A">
              <w:rPr>
                <w:noProof/>
                <w:webHidden/>
              </w:rPr>
              <w:fldChar w:fldCharType="end"/>
            </w:r>
          </w:hyperlink>
        </w:p>
        <w:p w14:paraId="41D12E1C" w14:textId="717137C9" w:rsidR="0042724A" w:rsidRDefault="00BF6EA6">
          <w:pPr>
            <w:pStyle w:val="TOC3"/>
            <w:rPr>
              <w:rFonts w:asciiTheme="minorHAnsi" w:eastAsiaTheme="minorEastAsia" w:hAnsiTheme="minorHAnsi"/>
              <w:sz w:val="22"/>
            </w:rPr>
          </w:pPr>
          <w:hyperlink w:anchor="_Toc16886261" w:history="1">
            <w:r w:rsidR="0042724A" w:rsidRPr="008C3FE7">
              <w:rPr>
                <w:rStyle w:val="Hyperlink"/>
              </w:rPr>
              <w:t xml:space="preserve">Note: </w:t>
            </w:r>
            <w:r w:rsidR="0042724A" w:rsidRPr="008C3FE7">
              <w:rPr>
                <w:rStyle w:val="Hyperlink"/>
                <w:i/>
              </w:rPr>
              <w:t>Janus v. AFSCME, Council 31</w:t>
            </w:r>
            <w:r w:rsidR="0042724A" w:rsidRPr="008C3FE7">
              <w:rPr>
                <w:rStyle w:val="Hyperlink"/>
              </w:rPr>
              <w:t xml:space="preserve"> (2018)</w:t>
            </w:r>
            <w:r w:rsidR="0042724A">
              <w:rPr>
                <w:webHidden/>
              </w:rPr>
              <w:tab/>
            </w:r>
            <w:r w:rsidR="0042724A">
              <w:rPr>
                <w:webHidden/>
              </w:rPr>
              <w:fldChar w:fldCharType="begin"/>
            </w:r>
            <w:r w:rsidR="0042724A">
              <w:rPr>
                <w:webHidden/>
              </w:rPr>
              <w:instrText xml:space="preserve"> PAGEREF _Toc16886261 \h </w:instrText>
            </w:r>
            <w:r w:rsidR="0042724A">
              <w:rPr>
                <w:webHidden/>
              </w:rPr>
            </w:r>
            <w:r w:rsidR="0042724A">
              <w:rPr>
                <w:webHidden/>
              </w:rPr>
              <w:fldChar w:fldCharType="separate"/>
            </w:r>
            <w:r w:rsidR="0042724A">
              <w:rPr>
                <w:webHidden/>
              </w:rPr>
              <w:t>61</w:t>
            </w:r>
            <w:r w:rsidR="0042724A">
              <w:rPr>
                <w:webHidden/>
              </w:rPr>
              <w:fldChar w:fldCharType="end"/>
            </w:r>
          </w:hyperlink>
        </w:p>
        <w:p w14:paraId="10E2CC21" w14:textId="483FB163" w:rsidR="0042724A" w:rsidRDefault="00BF6EA6">
          <w:pPr>
            <w:pStyle w:val="TOC2"/>
            <w:tabs>
              <w:tab w:val="right" w:leader="dot" w:pos="9350"/>
            </w:tabs>
            <w:rPr>
              <w:rFonts w:asciiTheme="minorHAnsi" w:eastAsiaTheme="minorEastAsia" w:hAnsiTheme="minorHAnsi"/>
              <w:noProof/>
              <w:sz w:val="22"/>
            </w:rPr>
          </w:pPr>
          <w:hyperlink w:anchor="_Toc16886262" w:history="1">
            <w:r w:rsidR="0042724A" w:rsidRPr="008C3FE7">
              <w:rPr>
                <w:rStyle w:val="Hyperlink"/>
                <w:rFonts w:cs="Times New Roman"/>
                <w:noProof/>
              </w:rPr>
              <w:t>Part III, Section II, Regulating Streets, Parks, and Sidewalks</w:t>
            </w:r>
            <w:r w:rsidR="0042724A">
              <w:rPr>
                <w:noProof/>
                <w:webHidden/>
              </w:rPr>
              <w:tab/>
            </w:r>
            <w:r w:rsidR="0042724A">
              <w:rPr>
                <w:noProof/>
                <w:webHidden/>
              </w:rPr>
              <w:fldChar w:fldCharType="begin"/>
            </w:r>
            <w:r w:rsidR="0042724A">
              <w:rPr>
                <w:noProof/>
                <w:webHidden/>
              </w:rPr>
              <w:instrText xml:space="preserve"> PAGEREF _Toc16886262 \h </w:instrText>
            </w:r>
            <w:r w:rsidR="0042724A">
              <w:rPr>
                <w:noProof/>
                <w:webHidden/>
              </w:rPr>
            </w:r>
            <w:r w:rsidR="0042724A">
              <w:rPr>
                <w:noProof/>
                <w:webHidden/>
              </w:rPr>
              <w:fldChar w:fldCharType="separate"/>
            </w:r>
            <w:r w:rsidR="0042724A">
              <w:rPr>
                <w:noProof/>
                <w:webHidden/>
              </w:rPr>
              <w:t>66</w:t>
            </w:r>
            <w:r w:rsidR="0042724A">
              <w:rPr>
                <w:noProof/>
                <w:webHidden/>
              </w:rPr>
              <w:fldChar w:fldCharType="end"/>
            </w:r>
          </w:hyperlink>
        </w:p>
        <w:p w14:paraId="67BDCD4D" w14:textId="5DC9441C" w:rsidR="0042724A" w:rsidRDefault="00BF6EA6">
          <w:pPr>
            <w:pStyle w:val="TOC3"/>
            <w:rPr>
              <w:rFonts w:asciiTheme="minorHAnsi" w:eastAsiaTheme="minorEastAsia" w:hAnsiTheme="minorHAnsi"/>
              <w:sz w:val="22"/>
            </w:rPr>
          </w:pPr>
          <w:hyperlink w:anchor="_Toc16886263" w:history="1">
            <w:r w:rsidR="0042724A" w:rsidRPr="008C3FE7">
              <w:rPr>
                <w:rStyle w:val="Hyperlink"/>
                <w:rFonts w:cs="Times New Roman"/>
              </w:rPr>
              <w:t xml:space="preserve">Note: </w:t>
            </w:r>
            <w:r w:rsidR="0042724A" w:rsidRPr="008C3FE7">
              <w:rPr>
                <w:rStyle w:val="Hyperlink"/>
                <w:rFonts w:cs="Times New Roman"/>
                <w:i/>
              </w:rPr>
              <w:t>Packingham v. North Carolina</w:t>
            </w:r>
            <w:r w:rsidR="0042724A" w:rsidRPr="008C3FE7">
              <w:rPr>
                <w:rStyle w:val="Hyperlink"/>
                <w:rFonts w:cs="Times New Roman"/>
              </w:rPr>
              <w:t xml:space="preserve"> (2017)</w:t>
            </w:r>
            <w:r w:rsidR="0042724A">
              <w:rPr>
                <w:webHidden/>
              </w:rPr>
              <w:tab/>
            </w:r>
            <w:r w:rsidR="0042724A">
              <w:rPr>
                <w:webHidden/>
              </w:rPr>
              <w:fldChar w:fldCharType="begin"/>
            </w:r>
            <w:r w:rsidR="0042724A">
              <w:rPr>
                <w:webHidden/>
              </w:rPr>
              <w:instrText xml:space="preserve"> PAGEREF _Toc16886263 \h </w:instrText>
            </w:r>
            <w:r w:rsidR="0042724A">
              <w:rPr>
                <w:webHidden/>
              </w:rPr>
            </w:r>
            <w:r w:rsidR="0042724A">
              <w:rPr>
                <w:webHidden/>
              </w:rPr>
              <w:fldChar w:fldCharType="separate"/>
            </w:r>
            <w:r w:rsidR="0042724A">
              <w:rPr>
                <w:webHidden/>
              </w:rPr>
              <w:t>66</w:t>
            </w:r>
            <w:r w:rsidR="0042724A">
              <w:rPr>
                <w:webHidden/>
              </w:rPr>
              <w:fldChar w:fldCharType="end"/>
            </w:r>
          </w:hyperlink>
        </w:p>
        <w:p w14:paraId="7779EF77" w14:textId="450C095B" w:rsidR="0042724A" w:rsidRDefault="00BF6EA6">
          <w:pPr>
            <w:pStyle w:val="TOC2"/>
            <w:tabs>
              <w:tab w:val="right" w:leader="dot" w:pos="9350"/>
            </w:tabs>
            <w:rPr>
              <w:rFonts w:asciiTheme="minorHAnsi" w:eastAsiaTheme="minorEastAsia" w:hAnsiTheme="minorHAnsi"/>
              <w:noProof/>
              <w:sz w:val="22"/>
            </w:rPr>
          </w:pPr>
          <w:hyperlink w:anchor="_Toc16886264" w:history="1">
            <w:r w:rsidR="0042724A" w:rsidRPr="008C3FE7">
              <w:rPr>
                <w:rStyle w:val="Hyperlink"/>
                <w:rFonts w:cs="Times New Roman"/>
                <w:noProof/>
              </w:rPr>
              <w:t>Part III, Section III, The Non-public Forum</w:t>
            </w:r>
            <w:r w:rsidR="0042724A">
              <w:rPr>
                <w:noProof/>
                <w:webHidden/>
              </w:rPr>
              <w:tab/>
            </w:r>
            <w:r w:rsidR="0042724A">
              <w:rPr>
                <w:noProof/>
                <w:webHidden/>
              </w:rPr>
              <w:fldChar w:fldCharType="begin"/>
            </w:r>
            <w:r w:rsidR="0042724A">
              <w:rPr>
                <w:noProof/>
                <w:webHidden/>
              </w:rPr>
              <w:instrText xml:space="preserve"> PAGEREF _Toc16886264 \h </w:instrText>
            </w:r>
            <w:r w:rsidR="0042724A">
              <w:rPr>
                <w:noProof/>
                <w:webHidden/>
              </w:rPr>
            </w:r>
            <w:r w:rsidR="0042724A">
              <w:rPr>
                <w:noProof/>
                <w:webHidden/>
              </w:rPr>
              <w:fldChar w:fldCharType="separate"/>
            </w:r>
            <w:r w:rsidR="0042724A">
              <w:rPr>
                <w:noProof/>
                <w:webHidden/>
              </w:rPr>
              <w:t>67</w:t>
            </w:r>
            <w:r w:rsidR="0042724A">
              <w:rPr>
                <w:noProof/>
                <w:webHidden/>
              </w:rPr>
              <w:fldChar w:fldCharType="end"/>
            </w:r>
          </w:hyperlink>
        </w:p>
        <w:p w14:paraId="1BE4A909" w14:textId="1899B775" w:rsidR="0042724A" w:rsidRDefault="00BF6EA6">
          <w:pPr>
            <w:pStyle w:val="TOC3"/>
            <w:rPr>
              <w:rFonts w:asciiTheme="minorHAnsi" w:eastAsiaTheme="minorEastAsia" w:hAnsiTheme="minorHAnsi"/>
              <w:sz w:val="22"/>
            </w:rPr>
          </w:pPr>
          <w:hyperlink w:anchor="_Toc16886265" w:history="1">
            <w:r w:rsidR="0042724A" w:rsidRPr="008C3FE7">
              <w:rPr>
                <w:rStyle w:val="Hyperlink"/>
                <w:rFonts w:cs="Times New Roman"/>
              </w:rPr>
              <w:t xml:space="preserve">Note: </w:t>
            </w:r>
            <w:r w:rsidR="0042724A" w:rsidRPr="008C3FE7">
              <w:rPr>
                <w:rStyle w:val="Hyperlink"/>
                <w:rFonts w:cs="Times New Roman"/>
                <w:i/>
              </w:rPr>
              <w:t>Minnesota Voters Alliance v. Mansky</w:t>
            </w:r>
            <w:r w:rsidR="0042724A" w:rsidRPr="008C3FE7">
              <w:rPr>
                <w:rStyle w:val="Hyperlink"/>
                <w:rFonts w:cs="Times New Roman"/>
              </w:rPr>
              <w:t xml:space="preserve"> (2018)</w:t>
            </w:r>
            <w:r w:rsidR="0042724A">
              <w:rPr>
                <w:webHidden/>
              </w:rPr>
              <w:tab/>
            </w:r>
            <w:r w:rsidR="0042724A">
              <w:rPr>
                <w:webHidden/>
              </w:rPr>
              <w:fldChar w:fldCharType="begin"/>
            </w:r>
            <w:r w:rsidR="0042724A">
              <w:rPr>
                <w:webHidden/>
              </w:rPr>
              <w:instrText xml:space="preserve"> PAGEREF _Toc16886265 \h </w:instrText>
            </w:r>
            <w:r w:rsidR="0042724A">
              <w:rPr>
                <w:webHidden/>
              </w:rPr>
            </w:r>
            <w:r w:rsidR="0042724A">
              <w:rPr>
                <w:webHidden/>
              </w:rPr>
              <w:fldChar w:fldCharType="separate"/>
            </w:r>
            <w:r w:rsidR="0042724A">
              <w:rPr>
                <w:webHidden/>
              </w:rPr>
              <w:t>67</w:t>
            </w:r>
            <w:r w:rsidR="0042724A">
              <w:rPr>
                <w:webHidden/>
              </w:rPr>
              <w:fldChar w:fldCharType="end"/>
            </w:r>
          </w:hyperlink>
        </w:p>
        <w:p w14:paraId="2E357B0A" w14:textId="0D7A2CBF" w:rsidR="0042724A" w:rsidRDefault="00BF6EA6">
          <w:pPr>
            <w:pStyle w:val="TOC2"/>
            <w:tabs>
              <w:tab w:val="right" w:leader="dot" w:pos="9350"/>
            </w:tabs>
            <w:rPr>
              <w:rFonts w:asciiTheme="minorHAnsi" w:eastAsiaTheme="minorEastAsia" w:hAnsiTheme="minorHAnsi"/>
              <w:noProof/>
              <w:sz w:val="22"/>
            </w:rPr>
          </w:pPr>
          <w:hyperlink w:anchor="_Toc16886266" w:history="1">
            <w:r w:rsidR="0042724A" w:rsidRPr="008C3FE7">
              <w:rPr>
                <w:rStyle w:val="Hyperlink"/>
                <w:rFonts w:cs="Times New Roman"/>
                <w:noProof/>
              </w:rPr>
              <w:t>Part III, Section VI, Government as the Speaker, Not as a Regulator</w:t>
            </w:r>
            <w:r w:rsidR="0042724A">
              <w:rPr>
                <w:noProof/>
                <w:webHidden/>
              </w:rPr>
              <w:tab/>
            </w:r>
            <w:r w:rsidR="0042724A">
              <w:rPr>
                <w:noProof/>
                <w:webHidden/>
              </w:rPr>
              <w:fldChar w:fldCharType="begin"/>
            </w:r>
            <w:r w:rsidR="0042724A">
              <w:rPr>
                <w:noProof/>
                <w:webHidden/>
              </w:rPr>
              <w:instrText xml:space="preserve"> PAGEREF _Toc16886266 \h </w:instrText>
            </w:r>
            <w:r w:rsidR="0042724A">
              <w:rPr>
                <w:noProof/>
                <w:webHidden/>
              </w:rPr>
            </w:r>
            <w:r w:rsidR="0042724A">
              <w:rPr>
                <w:noProof/>
                <w:webHidden/>
              </w:rPr>
              <w:fldChar w:fldCharType="separate"/>
            </w:r>
            <w:r w:rsidR="0042724A">
              <w:rPr>
                <w:noProof/>
                <w:webHidden/>
              </w:rPr>
              <w:t>70</w:t>
            </w:r>
            <w:r w:rsidR="0042724A">
              <w:rPr>
                <w:noProof/>
                <w:webHidden/>
              </w:rPr>
              <w:fldChar w:fldCharType="end"/>
            </w:r>
          </w:hyperlink>
        </w:p>
        <w:p w14:paraId="54BDEE05" w14:textId="387C74BA" w:rsidR="0042724A" w:rsidRDefault="00BF6EA6">
          <w:pPr>
            <w:pStyle w:val="TOC3"/>
            <w:rPr>
              <w:rFonts w:asciiTheme="minorHAnsi" w:eastAsiaTheme="minorEastAsia" w:hAnsiTheme="minorHAnsi"/>
              <w:sz w:val="22"/>
            </w:rPr>
          </w:pPr>
          <w:hyperlink w:anchor="_Toc16886267" w:history="1">
            <w:r w:rsidR="0042724A" w:rsidRPr="008C3FE7">
              <w:rPr>
                <w:rStyle w:val="Hyperlink"/>
                <w:rFonts w:cs="Times New Roman"/>
              </w:rPr>
              <w:t xml:space="preserve">Note: </w:t>
            </w:r>
            <w:r w:rsidR="0042724A" w:rsidRPr="008C3FE7">
              <w:rPr>
                <w:rStyle w:val="Hyperlink"/>
                <w:rFonts w:cs="Times New Roman"/>
                <w:i/>
                <w:iCs/>
              </w:rPr>
              <w:t>Matal v. Tam</w:t>
            </w:r>
            <w:r w:rsidR="0042724A" w:rsidRPr="008C3FE7">
              <w:rPr>
                <w:rStyle w:val="Hyperlink"/>
                <w:rFonts w:cs="Times New Roman"/>
              </w:rPr>
              <w:t xml:space="preserve"> (2017)</w:t>
            </w:r>
            <w:r w:rsidR="0042724A">
              <w:rPr>
                <w:webHidden/>
              </w:rPr>
              <w:tab/>
            </w:r>
            <w:r w:rsidR="0042724A">
              <w:rPr>
                <w:webHidden/>
              </w:rPr>
              <w:fldChar w:fldCharType="begin"/>
            </w:r>
            <w:r w:rsidR="0042724A">
              <w:rPr>
                <w:webHidden/>
              </w:rPr>
              <w:instrText xml:space="preserve"> PAGEREF _Toc16886267 \h </w:instrText>
            </w:r>
            <w:r w:rsidR="0042724A">
              <w:rPr>
                <w:webHidden/>
              </w:rPr>
            </w:r>
            <w:r w:rsidR="0042724A">
              <w:rPr>
                <w:webHidden/>
              </w:rPr>
              <w:fldChar w:fldCharType="separate"/>
            </w:r>
            <w:r w:rsidR="0042724A">
              <w:rPr>
                <w:webHidden/>
              </w:rPr>
              <w:t>70</w:t>
            </w:r>
            <w:r w:rsidR="0042724A">
              <w:rPr>
                <w:webHidden/>
              </w:rPr>
              <w:fldChar w:fldCharType="end"/>
            </w:r>
          </w:hyperlink>
        </w:p>
        <w:p w14:paraId="15612949" w14:textId="46EE74D1" w:rsidR="0042724A" w:rsidRDefault="00BF6EA6">
          <w:pPr>
            <w:pStyle w:val="TOC2"/>
            <w:tabs>
              <w:tab w:val="right" w:leader="dot" w:pos="9350"/>
            </w:tabs>
            <w:rPr>
              <w:rFonts w:asciiTheme="minorHAnsi" w:eastAsiaTheme="minorEastAsia" w:hAnsiTheme="minorHAnsi"/>
              <w:noProof/>
              <w:sz w:val="22"/>
            </w:rPr>
          </w:pPr>
          <w:hyperlink w:anchor="_Toc16886268" w:history="1">
            <w:r w:rsidR="0042724A" w:rsidRPr="008C3FE7">
              <w:rPr>
                <w:rStyle w:val="Hyperlink"/>
                <w:rFonts w:cs="Times New Roman"/>
                <w:noProof/>
              </w:rPr>
              <w:t>Chaper 12. Freedom of Religion. Section III-B-2, Government Financial Aid to Religious Institutions</w:t>
            </w:r>
            <w:r w:rsidR="0042724A">
              <w:rPr>
                <w:noProof/>
                <w:webHidden/>
              </w:rPr>
              <w:tab/>
            </w:r>
            <w:r w:rsidR="0042724A">
              <w:rPr>
                <w:noProof/>
                <w:webHidden/>
              </w:rPr>
              <w:fldChar w:fldCharType="begin"/>
            </w:r>
            <w:r w:rsidR="0042724A">
              <w:rPr>
                <w:noProof/>
                <w:webHidden/>
              </w:rPr>
              <w:instrText xml:space="preserve"> PAGEREF _Toc16886268 \h </w:instrText>
            </w:r>
            <w:r w:rsidR="0042724A">
              <w:rPr>
                <w:noProof/>
                <w:webHidden/>
              </w:rPr>
            </w:r>
            <w:r w:rsidR="0042724A">
              <w:rPr>
                <w:noProof/>
                <w:webHidden/>
              </w:rPr>
              <w:fldChar w:fldCharType="separate"/>
            </w:r>
            <w:r w:rsidR="0042724A">
              <w:rPr>
                <w:noProof/>
                <w:webHidden/>
              </w:rPr>
              <w:t>72</w:t>
            </w:r>
            <w:r w:rsidR="0042724A">
              <w:rPr>
                <w:noProof/>
                <w:webHidden/>
              </w:rPr>
              <w:fldChar w:fldCharType="end"/>
            </w:r>
          </w:hyperlink>
        </w:p>
        <w:p w14:paraId="4B798579" w14:textId="65DED78D" w:rsidR="0042724A" w:rsidRDefault="00BF6EA6">
          <w:pPr>
            <w:pStyle w:val="TOC3"/>
            <w:rPr>
              <w:rFonts w:asciiTheme="minorHAnsi" w:eastAsiaTheme="minorEastAsia" w:hAnsiTheme="minorHAnsi"/>
              <w:sz w:val="22"/>
            </w:rPr>
          </w:pPr>
          <w:hyperlink w:anchor="_Toc16886269" w:history="1">
            <w:r w:rsidR="0042724A" w:rsidRPr="008C3FE7">
              <w:rPr>
                <w:rStyle w:val="Hyperlink"/>
              </w:rPr>
              <w:t xml:space="preserve">Note: </w:t>
            </w:r>
            <w:r w:rsidR="0042724A" w:rsidRPr="008C3FE7">
              <w:rPr>
                <w:rStyle w:val="Hyperlink"/>
                <w:i/>
              </w:rPr>
              <w:t>American Legion v. American Humanist Association</w:t>
            </w:r>
            <w:r w:rsidR="0042724A" w:rsidRPr="008C3FE7">
              <w:rPr>
                <w:rStyle w:val="Hyperlink"/>
              </w:rPr>
              <w:t xml:space="preserve"> (2019)</w:t>
            </w:r>
            <w:r w:rsidR="0042724A">
              <w:rPr>
                <w:webHidden/>
              </w:rPr>
              <w:tab/>
            </w:r>
            <w:r w:rsidR="0042724A">
              <w:rPr>
                <w:webHidden/>
              </w:rPr>
              <w:fldChar w:fldCharType="begin"/>
            </w:r>
            <w:r w:rsidR="0042724A">
              <w:rPr>
                <w:webHidden/>
              </w:rPr>
              <w:instrText xml:space="preserve"> PAGEREF _Toc16886269 \h </w:instrText>
            </w:r>
            <w:r w:rsidR="0042724A">
              <w:rPr>
                <w:webHidden/>
              </w:rPr>
            </w:r>
            <w:r w:rsidR="0042724A">
              <w:rPr>
                <w:webHidden/>
              </w:rPr>
              <w:fldChar w:fldCharType="separate"/>
            </w:r>
            <w:r w:rsidR="0042724A">
              <w:rPr>
                <w:webHidden/>
              </w:rPr>
              <w:t>72</w:t>
            </w:r>
            <w:r w:rsidR="0042724A">
              <w:rPr>
                <w:webHidden/>
              </w:rPr>
              <w:fldChar w:fldCharType="end"/>
            </w:r>
          </w:hyperlink>
        </w:p>
        <w:p w14:paraId="10025664" w14:textId="1AE32088" w:rsidR="0042724A" w:rsidRDefault="00BF6EA6">
          <w:pPr>
            <w:pStyle w:val="TOC3"/>
            <w:rPr>
              <w:rFonts w:asciiTheme="minorHAnsi" w:eastAsiaTheme="minorEastAsia" w:hAnsiTheme="minorHAnsi"/>
              <w:sz w:val="22"/>
            </w:rPr>
          </w:pPr>
          <w:hyperlink w:anchor="_Toc16886270" w:history="1">
            <w:r w:rsidR="0042724A" w:rsidRPr="008C3FE7">
              <w:rPr>
                <w:rStyle w:val="Hyperlink"/>
              </w:rPr>
              <w:t xml:space="preserve">Note: </w:t>
            </w:r>
            <w:r w:rsidR="0042724A" w:rsidRPr="008C3FE7">
              <w:rPr>
                <w:rStyle w:val="Hyperlink"/>
                <w:i/>
              </w:rPr>
              <w:t>Masterpiece Cakeshop v. Colorado Civil Rights Commission</w:t>
            </w:r>
            <w:r w:rsidR="0042724A" w:rsidRPr="008C3FE7">
              <w:rPr>
                <w:rStyle w:val="Hyperlink"/>
              </w:rPr>
              <w:t xml:space="preserve"> (2018)</w:t>
            </w:r>
            <w:r w:rsidR="0042724A">
              <w:rPr>
                <w:webHidden/>
              </w:rPr>
              <w:tab/>
            </w:r>
            <w:r w:rsidR="0042724A">
              <w:rPr>
                <w:webHidden/>
              </w:rPr>
              <w:fldChar w:fldCharType="begin"/>
            </w:r>
            <w:r w:rsidR="0042724A">
              <w:rPr>
                <w:webHidden/>
              </w:rPr>
              <w:instrText xml:space="preserve"> PAGEREF _Toc16886270 \h </w:instrText>
            </w:r>
            <w:r w:rsidR="0042724A">
              <w:rPr>
                <w:webHidden/>
              </w:rPr>
            </w:r>
            <w:r w:rsidR="0042724A">
              <w:rPr>
                <w:webHidden/>
              </w:rPr>
              <w:fldChar w:fldCharType="separate"/>
            </w:r>
            <w:r w:rsidR="0042724A">
              <w:rPr>
                <w:webHidden/>
              </w:rPr>
              <w:t>76</w:t>
            </w:r>
            <w:r w:rsidR="0042724A">
              <w:rPr>
                <w:webHidden/>
              </w:rPr>
              <w:fldChar w:fldCharType="end"/>
            </w:r>
          </w:hyperlink>
        </w:p>
        <w:p w14:paraId="44B8EF3A" w14:textId="6D2BB9D4" w:rsidR="0042724A" w:rsidRDefault="00BF6EA6">
          <w:pPr>
            <w:pStyle w:val="TOC1"/>
            <w:tabs>
              <w:tab w:val="right" w:leader="dot" w:pos="9350"/>
            </w:tabs>
            <w:rPr>
              <w:rFonts w:asciiTheme="minorHAnsi" w:eastAsiaTheme="minorEastAsia" w:hAnsiTheme="minorHAnsi"/>
              <w:noProof/>
              <w:sz w:val="22"/>
            </w:rPr>
          </w:pPr>
          <w:hyperlink w:anchor="_Toc16886271" w:history="1">
            <w:r w:rsidR="0042724A" w:rsidRPr="008C3FE7">
              <w:rPr>
                <w:rStyle w:val="Hyperlink"/>
                <w:noProof/>
              </w:rPr>
              <w:t xml:space="preserve">Chapter 13. Governmental Actors, Private Actors, and the Scope of the 13th and 14th Amendments. Section IV-B, State Action after </w:t>
            </w:r>
            <w:r w:rsidR="0042724A" w:rsidRPr="008C3FE7">
              <w:rPr>
                <w:rStyle w:val="Hyperlink"/>
                <w:i/>
                <w:noProof/>
              </w:rPr>
              <w:t>Moose Lodge</w:t>
            </w:r>
            <w:r w:rsidR="0042724A" w:rsidRPr="008C3FE7">
              <w:rPr>
                <w:rStyle w:val="Hyperlink"/>
                <w:noProof/>
              </w:rPr>
              <w:t>.</w:t>
            </w:r>
            <w:r w:rsidR="0042724A">
              <w:rPr>
                <w:noProof/>
                <w:webHidden/>
              </w:rPr>
              <w:tab/>
            </w:r>
            <w:r w:rsidR="0042724A">
              <w:rPr>
                <w:noProof/>
                <w:webHidden/>
              </w:rPr>
              <w:fldChar w:fldCharType="begin"/>
            </w:r>
            <w:r w:rsidR="0042724A">
              <w:rPr>
                <w:noProof/>
                <w:webHidden/>
              </w:rPr>
              <w:instrText xml:space="preserve"> PAGEREF _Toc16886271 \h </w:instrText>
            </w:r>
            <w:r w:rsidR="0042724A">
              <w:rPr>
                <w:noProof/>
                <w:webHidden/>
              </w:rPr>
            </w:r>
            <w:r w:rsidR="0042724A">
              <w:rPr>
                <w:noProof/>
                <w:webHidden/>
              </w:rPr>
              <w:fldChar w:fldCharType="separate"/>
            </w:r>
            <w:r w:rsidR="0042724A">
              <w:rPr>
                <w:noProof/>
                <w:webHidden/>
              </w:rPr>
              <w:t>80</w:t>
            </w:r>
            <w:r w:rsidR="0042724A">
              <w:rPr>
                <w:noProof/>
                <w:webHidden/>
              </w:rPr>
              <w:fldChar w:fldCharType="end"/>
            </w:r>
          </w:hyperlink>
        </w:p>
        <w:p w14:paraId="05BE670E" w14:textId="275A9753" w:rsidR="0042724A" w:rsidRDefault="00BF6EA6">
          <w:pPr>
            <w:pStyle w:val="TOC2"/>
            <w:tabs>
              <w:tab w:val="right" w:leader="dot" w:pos="9350"/>
            </w:tabs>
            <w:rPr>
              <w:rFonts w:asciiTheme="minorHAnsi" w:eastAsiaTheme="minorEastAsia" w:hAnsiTheme="minorHAnsi"/>
              <w:noProof/>
              <w:sz w:val="22"/>
            </w:rPr>
          </w:pPr>
          <w:hyperlink w:anchor="_Toc16886272" w:history="1">
            <w:r w:rsidR="0042724A" w:rsidRPr="008C3FE7">
              <w:rPr>
                <w:rStyle w:val="Hyperlink"/>
                <w:rFonts w:cs="Times New Roman"/>
                <w:noProof/>
              </w:rPr>
              <w:t xml:space="preserve">B. State Action after </w:t>
            </w:r>
            <w:r w:rsidR="0042724A" w:rsidRPr="008C3FE7">
              <w:rPr>
                <w:rStyle w:val="Hyperlink"/>
                <w:rFonts w:cs="Times New Roman"/>
                <w:i/>
                <w:noProof/>
              </w:rPr>
              <w:t>Moose Lodge</w:t>
            </w:r>
            <w:r w:rsidR="0042724A">
              <w:rPr>
                <w:noProof/>
                <w:webHidden/>
              </w:rPr>
              <w:tab/>
            </w:r>
            <w:r w:rsidR="0042724A">
              <w:rPr>
                <w:noProof/>
                <w:webHidden/>
              </w:rPr>
              <w:fldChar w:fldCharType="begin"/>
            </w:r>
            <w:r w:rsidR="0042724A">
              <w:rPr>
                <w:noProof/>
                <w:webHidden/>
              </w:rPr>
              <w:instrText xml:space="preserve"> PAGEREF _Toc16886272 \h </w:instrText>
            </w:r>
            <w:r w:rsidR="0042724A">
              <w:rPr>
                <w:noProof/>
                <w:webHidden/>
              </w:rPr>
            </w:r>
            <w:r w:rsidR="0042724A">
              <w:rPr>
                <w:noProof/>
                <w:webHidden/>
              </w:rPr>
              <w:fldChar w:fldCharType="separate"/>
            </w:r>
            <w:r w:rsidR="0042724A">
              <w:rPr>
                <w:noProof/>
                <w:webHidden/>
              </w:rPr>
              <w:t>80</w:t>
            </w:r>
            <w:r w:rsidR="0042724A">
              <w:rPr>
                <w:noProof/>
                <w:webHidden/>
              </w:rPr>
              <w:fldChar w:fldCharType="end"/>
            </w:r>
          </w:hyperlink>
        </w:p>
        <w:p w14:paraId="6965DB02" w14:textId="596C15B4" w:rsidR="0042724A" w:rsidRDefault="0042724A">
          <w:r>
            <w:rPr>
              <w:b/>
              <w:bCs/>
              <w:noProof/>
            </w:rPr>
            <w:fldChar w:fldCharType="end"/>
          </w:r>
        </w:p>
      </w:sdtContent>
    </w:sdt>
    <w:p w14:paraId="58FF9674" w14:textId="77777777" w:rsidR="00BD6A5C" w:rsidRDefault="00BD6A5C">
      <w:pPr>
        <w:rPr>
          <w:rFonts w:cs="Times New Roman"/>
          <w:b/>
          <w:szCs w:val="24"/>
          <w:lang w:eastAsia="ja-JP"/>
        </w:rPr>
      </w:pPr>
      <w:r>
        <w:rPr>
          <w:rFonts w:cs="Times New Roman"/>
          <w:b/>
          <w:szCs w:val="24"/>
          <w:lang w:eastAsia="ja-JP"/>
        </w:rPr>
        <w:br w:type="page"/>
      </w:r>
    </w:p>
    <w:p w14:paraId="0844B871" w14:textId="2A429FF7" w:rsidR="00675288" w:rsidRPr="00B96CAA" w:rsidRDefault="00675288" w:rsidP="00675288">
      <w:pPr>
        <w:jc w:val="center"/>
        <w:rPr>
          <w:rFonts w:cs="Times New Roman"/>
          <w:b/>
          <w:szCs w:val="24"/>
          <w:lang w:eastAsia="ja-JP"/>
        </w:rPr>
      </w:pPr>
      <w:r w:rsidRPr="00B96CAA">
        <w:rPr>
          <w:rFonts w:cs="Times New Roman"/>
          <w:b/>
          <w:szCs w:val="24"/>
          <w:lang w:eastAsia="ja-JP"/>
        </w:rPr>
        <w:lastRenderedPageBreak/>
        <w:t>Table of Cases</w:t>
      </w:r>
    </w:p>
    <w:p w14:paraId="5DB7BFBE" w14:textId="56513B8A" w:rsidR="0025292F" w:rsidRPr="000B65B6" w:rsidRDefault="0025292F" w:rsidP="0033789C">
      <w:pPr>
        <w:pStyle w:val="NoSpacing"/>
        <w:jc w:val="both"/>
        <w:rPr>
          <w:bCs/>
          <w:szCs w:val="24"/>
        </w:rPr>
      </w:pPr>
      <w:r w:rsidRPr="000B65B6">
        <w:rPr>
          <w:i/>
          <w:szCs w:val="24"/>
        </w:rPr>
        <w:t>American Legion v. American Humanist Association</w:t>
      </w:r>
      <w:bookmarkStart w:id="0" w:name="_Hlk16843322"/>
      <w:r w:rsidRPr="000B65B6">
        <w:rPr>
          <w:szCs w:val="24"/>
        </w:rPr>
        <w:t xml:space="preserve">, </w:t>
      </w:r>
      <w:r w:rsidRPr="000B65B6">
        <w:rPr>
          <w:bCs/>
          <w:szCs w:val="24"/>
        </w:rPr>
        <w:t>588 U.S. __ (</w:t>
      </w:r>
      <w:proofErr w:type="gramStart"/>
      <w:r w:rsidRPr="000B65B6">
        <w:rPr>
          <w:bCs/>
          <w:szCs w:val="24"/>
        </w:rPr>
        <w:t>2019)</w:t>
      </w:r>
      <w:bookmarkEnd w:id="0"/>
      <w:r w:rsidR="00B42F0F" w:rsidRPr="000B65B6">
        <w:rPr>
          <w:bCs/>
          <w:szCs w:val="24"/>
        </w:rPr>
        <w:t>…</w:t>
      </w:r>
      <w:proofErr w:type="gramEnd"/>
      <w:r w:rsidR="00B42F0F" w:rsidRPr="000B65B6">
        <w:rPr>
          <w:bCs/>
          <w:szCs w:val="24"/>
        </w:rPr>
        <w:t>…………</w:t>
      </w:r>
      <w:r w:rsidR="000B65B6">
        <w:rPr>
          <w:bCs/>
          <w:szCs w:val="24"/>
        </w:rPr>
        <w:t>…...</w:t>
      </w:r>
      <w:r w:rsidR="00B42F0F" w:rsidRPr="000B65B6">
        <w:rPr>
          <w:bCs/>
          <w:szCs w:val="24"/>
        </w:rPr>
        <w:t>……..</w:t>
      </w:r>
      <w:r w:rsidR="000B65B6">
        <w:rPr>
          <w:bCs/>
          <w:szCs w:val="24"/>
        </w:rPr>
        <w:t>72</w:t>
      </w:r>
    </w:p>
    <w:p w14:paraId="1785BAB0" w14:textId="194B1DBD" w:rsidR="00E53E3C" w:rsidRPr="000B65B6" w:rsidRDefault="00E53E3C" w:rsidP="0033789C">
      <w:pPr>
        <w:pStyle w:val="NoSpacing"/>
        <w:jc w:val="both"/>
        <w:rPr>
          <w:bCs/>
          <w:szCs w:val="24"/>
        </w:rPr>
      </w:pPr>
      <w:r w:rsidRPr="000B65B6">
        <w:rPr>
          <w:i/>
          <w:szCs w:val="24"/>
        </w:rPr>
        <w:t>Blumenthal et al. v. Trump</w:t>
      </w:r>
      <w:r w:rsidRPr="000B65B6">
        <w:rPr>
          <w:szCs w:val="24"/>
        </w:rPr>
        <w:t xml:space="preserve">, </w:t>
      </w:r>
      <w:r w:rsidRPr="000B65B6">
        <w:rPr>
          <w:color w:val="3D3D3D"/>
          <w:szCs w:val="24"/>
          <w:shd w:val="clear" w:color="auto" w:fill="FFFFFF"/>
        </w:rPr>
        <w:t>373 F.Supp.3d 191</w:t>
      </w:r>
      <w:r w:rsidRPr="000B65B6">
        <w:rPr>
          <w:szCs w:val="24"/>
        </w:rPr>
        <w:t xml:space="preserve"> (D.D.C. </w:t>
      </w:r>
      <w:proofErr w:type="gramStart"/>
      <w:r w:rsidRPr="000B65B6">
        <w:rPr>
          <w:szCs w:val="24"/>
        </w:rPr>
        <w:t>2019)</w:t>
      </w:r>
      <w:r w:rsidR="000B65B6" w:rsidRPr="000B65B6">
        <w:rPr>
          <w:szCs w:val="24"/>
        </w:rPr>
        <w:t>…</w:t>
      </w:r>
      <w:proofErr w:type="gramEnd"/>
      <w:r w:rsidR="000B65B6" w:rsidRPr="000B65B6">
        <w:rPr>
          <w:szCs w:val="24"/>
        </w:rPr>
        <w:t>………</w:t>
      </w:r>
      <w:r w:rsidR="000B65B6">
        <w:rPr>
          <w:szCs w:val="24"/>
        </w:rPr>
        <w:t>…….</w:t>
      </w:r>
      <w:r w:rsidR="000B65B6" w:rsidRPr="000B65B6">
        <w:rPr>
          <w:szCs w:val="24"/>
        </w:rPr>
        <w:t>…………………2</w:t>
      </w:r>
      <w:r w:rsidR="00837FEB">
        <w:rPr>
          <w:szCs w:val="24"/>
        </w:rPr>
        <w:t>3</w:t>
      </w:r>
    </w:p>
    <w:p w14:paraId="71F98801" w14:textId="6E18C36E" w:rsidR="00E53E3C" w:rsidRPr="000B65B6" w:rsidRDefault="00E53E3C" w:rsidP="0033789C">
      <w:pPr>
        <w:pStyle w:val="NoSpacing"/>
        <w:jc w:val="both"/>
        <w:rPr>
          <w:i/>
          <w:szCs w:val="24"/>
          <w:lang w:eastAsia="ja-JP"/>
        </w:rPr>
      </w:pPr>
      <w:r w:rsidRPr="000B65B6">
        <w:rPr>
          <w:i/>
          <w:szCs w:val="24"/>
        </w:rPr>
        <w:t>Citizens for Responsibility and Ethics in Washington v. Trump</w:t>
      </w:r>
      <w:r w:rsidRPr="000B65B6">
        <w:rPr>
          <w:szCs w:val="24"/>
        </w:rPr>
        <w:t xml:space="preserve">, </w:t>
      </w:r>
      <w:r w:rsidRPr="000B65B6">
        <w:rPr>
          <w:color w:val="3D3D3D"/>
          <w:szCs w:val="24"/>
          <w:shd w:val="clear" w:color="auto" w:fill="FFFFFF"/>
        </w:rPr>
        <w:t>276 F.Supp.3d 174</w:t>
      </w:r>
      <w:r w:rsidRPr="000B65B6">
        <w:rPr>
          <w:szCs w:val="24"/>
        </w:rPr>
        <w:t xml:space="preserve"> (S.D.N.Y. </w:t>
      </w:r>
      <w:proofErr w:type="gramStart"/>
      <w:r w:rsidRPr="000B65B6">
        <w:rPr>
          <w:szCs w:val="24"/>
        </w:rPr>
        <w:t>2017)</w:t>
      </w:r>
      <w:r w:rsidR="000B65B6" w:rsidRPr="000B65B6">
        <w:rPr>
          <w:szCs w:val="24"/>
        </w:rPr>
        <w:t>…</w:t>
      </w:r>
      <w:proofErr w:type="gramEnd"/>
      <w:r w:rsidR="000B65B6" w:rsidRPr="000B65B6">
        <w:rPr>
          <w:szCs w:val="24"/>
        </w:rPr>
        <w:t>…………………………………………………………………………………………..22</w:t>
      </w:r>
    </w:p>
    <w:p w14:paraId="652F5864" w14:textId="05598B35" w:rsidR="00966EEA" w:rsidRDefault="0063530F" w:rsidP="0033789C">
      <w:pPr>
        <w:pStyle w:val="NoSpacing"/>
        <w:jc w:val="both"/>
        <w:rPr>
          <w:szCs w:val="24"/>
        </w:rPr>
      </w:pPr>
      <w:r w:rsidRPr="00B96CAA">
        <w:rPr>
          <w:i/>
          <w:szCs w:val="24"/>
          <w:lang w:eastAsia="ja-JP"/>
        </w:rPr>
        <w:t>Cooper v. Harris</w:t>
      </w:r>
      <w:r w:rsidR="00966EEA" w:rsidRPr="00B96CAA">
        <w:rPr>
          <w:szCs w:val="24"/>
          <w:lang w:eastAsia="ja-JP"/>
        </w:rPr>
        <w:t xml:space="preserve">, </w:t>
      </w:r>
      <w:r w:rsidR="00966EEA" w:rsidRPr="00B96CAA">
        <w:rPr>
          <w:szCs w:val="24"/>
        </w:rPr>
        <w:t>581 U. S. __ (</w:t>
      </w:r>
      <w:proofErr w:type="gramStart"/>
      <w:r w:rsidR="00966EEA" w:rsidRPr="00B96CAA">
        <w:rPr>
          <w:szCs w:val="24"/>
        </w:rPr>
        <w:t>2017)</w:t>
      </w:r>
      <w:r w:rsidR="0033789C">
        <w:rPr>
          <w:szCs w:val="24"/>
        </w:rPr>
        <w:t>…</w:t>
      </w:r>
      <w:proofErr w:type="gramEnd"/>
      <w:r w:rsidR="0033789C">
        <w:rPr>
          <w:szCs w:val="24"/>
        </w:rPr>
        <w:t>…………………………………………………………</w:t>
      </w:r>
      <w:r w:rsidR="00510F17">
        <w:rPr>
          <w:szCs w:val="24"/>
        </w:rPr>
        <w:t>3</w:t>
      </w:r>
      <w:r w:rsidR="00837FEB">
        <w:rPr>
          <w:szCs w:val="24"/>
        </w:rPr>
        <w:t>3</w:t>
      </w:r>
    </w:p>
    <w:p w14:paraId="18DF4104" w14:textId="64470B8B" w:rsidR="0063530F" w:rsidRPr="00B96CAA" w:rsidRDefault="0063530F" w:rsidP="0033789C">
      <w:pPr>
        <w:pStyle w:val="NoSpacing"/>
        <w:jc w:val="both"/>
        <w:rPr>
          <w:szCs w:val="24"/>
          <w:lang w:eastAsia="ja-JP"/>
        </w:rPr>
      </w:pPr>
      <w:r w:rsidRPr="00B96CAA">
        <w:rPr>
          <w:i/>
          <w:szCs w:val="24"/>
          <w:lang w:eastAsia="ja-JP"/>
        </w:rPr>
        <w:t>Covington v. North Carolina</w:t>
      </w:r>
      <w:r w:rsidRPr="00B96CAA">
        <w:rPr>
          <w:szCs w:val="24"/>
          <w:lang w:eastAsia="ja-JP"/>
        </w:rPr>
        <w:t>, 316 F.R.D. 117 (</w:t>
      </w:r>
      <w:r w:rsidR="00851F2E">
        <w:rPr>
          <w:szCs w:val="24"/>
          <w:lang w:eastAsia="ja-JP"/>
        </w:rPr>
        <w:t xml:space="preserve">MDNC </w:t>
      </w:r>
      <w:proofErr w:type="gramStart"/>
      <w:r w:rsidRPr="00B96CAA">
        <w:rPr>
          <w:szCs w:val="24"/>
          <w:lang w:eastAsia="ja-JP"/>
        </w:rPr>
        <w:t>2016)</w:t>
      </w:r>
      <w:r w:rsidR="0033789C">
        <w:rPr>
          <w:szCs w:val="24"/>
          <w:lang w:eastAsia="ja-JP"/>
        </w:rPr>
        <w:t>…</w:t>
      </w:r>
      <w:proofErr w:type="gramEnd"/>
      <w:r w:rsidR="0033789C">
        <w:rPr>
          <w:szCs w:val="24"/>
          <w:lang w:eastAsia="ja-JP"/>
        </w:rPr>
        <w:t>…………………………………</w:t>
      </w:r>
      <w:r w:rsidR="00510F17">
        <w:rPr>
          <w:szCs w:val="24"/>
          <w:lang w:eastAsia="ja-JP"/>
        </w:rPr>
        <w:t>4</w:t>
      </w:r>
      <w:r w:rsidR="00C32887">
        <w:rPr>
          <w:szCs w:val="24"/>
          <w:lang w:eastAsia="ja-JP"/>
        </w:rPr>
        <w:t>2</w:t>
      </w:r>
    </w:p>
    <w:p w14:paraId="5F82CB5D" w14:textId="3B6D056F" w:rsidR="0025292F" w:rsidRPr="00510F17" w:rsidRDefault="0025292F" w:rsidP="0025292F">
      <w:pPr>
        <w:pStyle w:val="NoSpacing"/>
        <w:rPr>
          <w:szCs w:val="22"/>
        </w:rPr>
      </w:pPr>
      <w:r w:rsidRPr="00510F17">
        <w:rPr>
          <w:i/>
        </w:rPr>
        <w:t>Department of Commerce v. New York</w:t>
      </w:r>
      <w:r w:rsidRPr="00510F17">
        <w:t>,</w:t>
      </w:r>
      <w:r w:rsidRPr="00510F17">
        <w:rPr>
          <w:bCs/>
          <w:szCs w:val="24"/>
        </w:rPr>
        <w:t xml:space="preserve"> 588 U.S. __ (</w:t>
      </w:r>
      <w:proofErr w:type="gramStart"/>
      <w:r w:rsidRPr="00510F17">
        <w:rPr>
          <w:bCs/>
          <w:szCs w:val="24"/>
        </w:rPr>
        <w:t>2019)</w:t>
      </w:r>
      <w:r w:rsidR="00510F17" w:rsidRPr="00510F17">
        <w:rPr>
          <w:bCs/>
          <w:szCs w:val="24"/>
        </w:rPr>
        <w:t>…</w:t>
      </w:r>
      <w:proofErr w:type="gramEnd"/>
      <w:r w:rsidR="00510F17" w:rsidRPr="00510F17">
        <w:rPr>
          <w:bCs/>
          <w:szCs w:val="24"/>
        </w:rPr>
        <w:t>………</w:t>
      </w:r>
      <w:r w:rsidR="00510F17">
        <w:rPr>
          <w:bCs/>
          <w:szCs w:val="24"/>
        </w:rPr>
        <w:t>….</w:t>
      </w:r>
      <w:r w:rsidR="00510F17" w:rsidRPr="00510F17">
        <w:rPr>
          <w:bCs/>
          <w:szCs w:val="24"/>
        </w:rPr>
        <w:t>………………………</w:t>
      </w:r>
      <w:r w:rsidR="00C32887">
        <w:rPr>
          <w:bCs/>
          <w:szCs w:val="24"/>
        </w:rPr>
        <w:t>19</w:t>
      </w:r>
    </w:p>
    <w:p w14:paraId="28B53019" w14:textId="4F636C93" w:rsidR="000C796D" w:rsidRPr="00510F17" w:rsidRDefault="000C796D" w:rsidP="000C796D">
      <w:pPr>
        <w:pStyle w:val="NoSpacing"/>
      </w:pPr>
      <w:r w:rsidRPr="00510F17">
        <w:rPr>
          <w:i/>
          <w:lang w:val="en"/>
        </w:rPr>
        <w:t>Franchise Tax Board of California v. Hyatt</w:t>
      </w:r>
      <w:r w:rsidRPr="00510F17">
        <w:t xml:space="preserve">, </w:t>
      </w:r>
      <w:r w:rsidRPr="00510F17">
        <w:rPr>
          <w:bCs/>
        </w:rPr>
        <w:t>587 U.S. __ (</w:t>
      </w:r>
      <w:proofErr w:type="gramStart"/>
      <w:r w:rsidRPr="00510F17">
        <w:rPr>
          <w:bCs/>
        </w:rPr>
        <w:t>2019)</w:t>
      </w:r>
      <w:r w:rsidR="00510F17" w:rsidRPr="00510F17">
        <w:rPr>
          <w:bCs/>
        </w:rPr>
        <w:t>…</w:t>
      </w:r>
      <w:proofErr w:type="gramEnd"/>
      <w:r w:rsidR="00510F17" w:rsidRPr="00510F17">
        <w:rPr>
          <w:bCs/>
        </w:rPr>
        <w:t>……</w:t>
      </w:r>
      <w:r w:rsidR="00510F17">
        <w:rPr>
          <w:bCs/>
        </w:rPr>
        <w:t>……………………</w:t>
      </w:r>
      <w:r w:rsidR="00510F17" w:rsidRPr="00510F17">
        <w:rPr>
          <w:bCs/>
        </w:rPr>
        <w:t>….10</w:t>
      </w:r>
    </w:p>
    <w:p w14:paraId="39E0A12F" w14:textId="338CAC2D" w:rsidR="000C796D" w:rsidRPr="00510F17" w:rsidRDefault="000C796D" w:rsidP="000C796D">
      <w:pPr>
        <w:pStyle w:val="NoSpacing"/>
      </w:pPr>
      <w:r w:rsidRPr="00510F17">
        <w:rPr>
          <w:i/>
        </w:rPr>
        <w:t>Gamble v. United States</w:t>
      </w:r>
      <w:r w:rsidRPr="00510F17">
        <w:t xml:space="preserve">, </w:t>
      </w:r>
      <w:r w:rsidRPr="00510F17">
        <w:rPr>
          <w:bCs/>
        </w:rPr>
        <w:t>587 U.S. __ (</w:t>
      </w:r>
      <w:proofErr w:type="gramStart"/>
      <w:r w:rsidRPr="00510F17">
        <w:rPr>
          <w:bCs/>
        </w:rPr>
        <w:t>2019)</w:t>
      </w:r>
      <w:r w:rsidR="00510F17" w:rsidRPr="00510F17">
        <w:rPr>
          <w:bCs/>
        </w:rPr>
        <w:t>…</w:t>
      </w:r>
      <w:proofErr w:type="gramEnd"/>
      <w:r w:rsidR="00510F17">
        <w:rPr>
          <w:bCs/>
        </w:rPr>
        <w:t>………………………………………………..</w:t>
      </w:r>
      <w:r w:rsidR="00510F17" w:rsidRPr="00510F17">
        <w:rPr>
          <w:bCs/>
        </w:rPr>
        <w:t>..1</w:t>
      </w:r>
      <w:r w:rsidR="00C32887">
        <w:rPr>
          <w:bCs/>
        </w:rPr>
        <w:t>1</w:t>
      </w:r>
    </w:p>
    <w:p w14:paraId="27455834" w14:textId="0363490F" w:rsidR="00E03CAD" w:rsidRDefault="00E03CAD" w:rsidP="0033789C">
      <w:pPr>
        <w:pStyle w:val="NoSpacing"/>
        <w:jc w:val="both"/>
        <w:rPr>
          <w:szCs w:val="24"/>
          <w:lang w:eastAsia="ja-JP"/>
        </w:rPr>
      </w:pPr>
      <w:r w:rsidRPr="00B96CAA">
        <w:rPr>
          <w:i/>
          <w:szCs w:val="24"/>
          <w:lang w:eastAsia="ja-JP"/>
        </w:rPr>
        <w:t xml:space="preserve">Gill v. </w:t>
      </w:r>
      <w:proofErr w:type="spellStart"/>
      <w:r w:rsidRPr="00B96CAA">
        <w:rPr>
          <w:i/>
          <w:szCs w:val="24"/>
          <w:lang w:eastAsia="ja-JP"/>
        </w:rPr>
        <w:t>Whitford</w:t>
      </w:r>
      <w:proofErr w:type="spellEnd"/>
      <w:r w:rsidRPr="00B96CAA">
        <w:rPr>
          <w:szCs w:val="24"/>
          <w:lang w:eastAsia="ja-JP"/>
        </w:rPr>
        <w:t>, 585 U.S. __ (</w:t>
      </w:r>
      <w:proofErr w:type="gramStart"/>
      <w:r w:rsidRPr="00B96CAA">
        <w:rPr>
          <w:szCs w:val="24"/>
          <w:lang w:eastAsia="ja-JP"/>
        </w:rPr>
        <w:t>2018)</w:t>
      </w:r>
      <w:r w:rsidR="0033789C">
        <w:rPr>
          <w:szCs w:val="24"/>
          <w:lang w:eastAsia="ja-JP"/>
        </w:rPr>
        <w:t>…</w:t>
      </w:r>
      <w:proofErr w:type="gramEnd"/>
      <w:r w:rsidR="0033789C">
        <w:rPr>
          <w:szCs w:val="24"/>
          <w:lang w:eastAsia="ja-JP"/>
        </w:rPr>
        <w:t>…………………………………………………………..</w:t>
      </w:r>
      <w:r w:rsidR="00C32887">
        <w:rPr>
          <w:szCs w:val="24"/>
          <w:lang w:eastAsia="ja-JP"/>
        </w:rPr>
        <w:t>43</w:t>
      </w:r>
    </w:p>
    <w:p w14:paraId="499A966C" w14:textId="3CC26233" w:rsidR="004E31B4" w:rsidRPr="00510F17" w:rsidRDefault="004E31B4" w:rsidP="004E31B4">
      <w:pPr>
        <w:pStyle w:val="NoSpacing"/>
      </w:pPr>
      <w:r w:rsidRPr="00510F17">
        <w:rPr>
          <w:i/>
        </w:rPr>
        <w:t>Gundy v. United States</w:t>
      </w:r>
      <w:r w:rsidRPr="00510F17">
        <w:t xml:space="preserve">, </w:t>
      </w:r>
      <w:r w:rsidRPr="00510F17">
        <w:rPr>
          <w:bCs/>
        </w:rPr>
        <w:t>588 U.S. __ (</w:t>
      </w:r>
      <w:proofErr w:type="gramStart"/>
      <w:r w:rsidRPr="00510F17">
        <w:rPr>
          <w:bCs/>
        </w:rPr>
        <w:t>2019)</w:t>
      </w:r>
      <w:r w:rsidR="00510F17" w:rsidRPr="00510F17">
        <w:rPr>
          <w:bCs/>
        </w:rPr>
        <w:t>…</w:t>
      </w:r>
      <w:proofErr w:type="gramEnd"/>
      <w:r w:rsidR="00510F17">
        <w:rPr>
          <w:bCs/>
        </w:rPr>
        <w:t>………………………………………………….</w:t>
      </w:r>
      <w:r w:rsidR="00510F17" w:rsidRPr="00510F17">
        <w:rPr>
          <w:bCs/>
        </w:rPr>
        <w:t>.16</w:t>
      </w:r>
    </w:p>
    <w:p w14:paraId="1044DC33" w14:textId="7EF467C7" w:rsidR="00351F14" w:rsidRPr="00510F17" w:rsidRDefault="00351F14" w:rsidP="0033789C">
      <w:pPr>
        <w:pStyle w:val="NoSpacing"/>
        <w:jc w:val="both"/>
        <w:rPr>
          <w:bCs/>
          <w:szCs w:val="24"/>
        </w:rPr>
      </w:pPr>
      <w:proofErr w:type="spellStart"/>
      <w:r w:rsidRPr="00510F17">
        <w:rPr>
          <w:bCs/>
          <w:i/>
          <w:szCs w:val="24"/>
        </w:rPr>
        <w:t>Iancu</w:t>
      </w:r>
      <w:proofErr w:type="spellEnd"/>
      <w:r w:rsidRPr="00510F17">
        <w:rPr>
          <w:bCs/>
          <w:i/>
          <w:szCs w:val="24"/>
        </w:rPr>
        <w:t xml:space="preserve"> v. Brunetti</w:t>
      </w:r>
      <w:r w:rsidRPr="00510F17">
        <w:rPr>
          <w:bCs/>
          <w:szCs w:val="24"/>
        </w:rPr>
        <w:t xml:space="preserve">, </w:t>
      </w:r>
      <w:bookmarkStart w:id="1" w:name="_Hlk16843056"/>
      <w:r w:rsidRPr="00510F17">
        <w:rPr>
          <w:bCs/>
          <w:szCs w:val="24"/>
        </w:rPr>
        <w:t>588 U.S. __ (</w:t>
      </w:r>
      <w:proofErr w:type="gramStart"/>
      <w:r w:rsidRPr="00510F17">
        <w:rPr>
          <w:bCs/>
          <w:szCs w:val="24"/>
        </w:rPr>
        <w:t>2019)</w:t>
      </w:r>
      <w:bookmarkEnd w:id="1"/>
      <w:r w:rsidR="00510F17" w:rsidRPr="00510F17">
        <w:rPr>
          <w:bCs/>
          <w:szCs w:val="24"/>
        </w:rPr>
        <w:t>…</w:t>
      </w:r>
      <w:proofErr w:type="gramEnd"/>
      <w:r w:rsidR="00510F17">
        <w:rPr>
          <w:bCs/>
          <w:szCs w:val="24"/>
        </w:rPr>
        <w:t>…………………………………………………………</w:t>
      </w:r>
      <w:r w:rsidR="00510F17" w:rsidRPr="00510F17">
        <w:rPr>
          <w:bCs/>
          <w:szCs w:val="24"/>
        </w:rPr>
        <w:t>.</w:t>
      </w:r>
      <w:r w:rsidR="00C32887">
        <w:rPr>
          <w:bCs/>
          <w:szCs w:val="24"/>
        </w:rPr>
        <w:t>49</w:t>
      </w:r>
    </w:p>
    <w:p w14:paraId="1289BC36" w14:textId="4CE975F3" w:rsidR="00E53E3C" w:rsidRPr="000F0939" w:rsidRDefault="00E53E3C" w:rsidP="0033789C">
      <w:pPr>
        <w:pStyle w:val="NoSpacing"/>
        <w:jc w:val="both"/>
        <w:rPr>
          <w:i/>
          <w:szCs w:val="24"/>
          <w:lang w:eastAsia="ja-JP"/>
        </w:rPr>
      </w:pPr>
      <w:r w:rsidRPr="000F0939">
        <w:rPr>
          <w:i/>
          <w:szCs w:val="24"/>
        </w:rPr>
        <w:t>In re Trump</w:t>
      </w:r>
      <w:r w:rsidRPr="000F0939">
        <w:rPr>
          <w:szCs w:val="24"/>
        </w:rPr>
        <w:t xml:space="preserve">, </w:t>
      </w:r>
      <w:r w:rsidRPr="000F0939">
        <w:rPr>
          <w:color w:val="3D3D3D"/>
          <w:szCs w:val="24"/>
          <w:shd w:val="clear" w:color="auto" w:fill="FFFFFF"/>
        </w:rPr>
        <w:t>928 F.3d 360 (4</w:t>
      </w:r>
      <w:r w:rsidRPr="000F0939">
        <w:rPr>
          <w:color w:val="3D3D3D"/>
          <w:szCs w:val="24"/>
          <w:shd w:val="clear" w:color="auto" w:fill="FFFFFF"/>
          <w:vertAlign w:val="superscript"/>
        </w:rPr>
        <w:t>th</w:t>
      </w:r>
      <w:r w:rsidRPr="000F0939">
        <w:rPr>
          <w:color w:val="3D3D3D"/>
          <w:szCs w:val="24"/>
          <w:shd w:val="clear" w:color="auto" w:fill="FFFFFF"/>
        </w:rPr>
        <w:t xml:space="preserve"> Cir. </w:t>
      </w:r>
      <w:proofErr w:type="gramStart"/>
      <w:r w:rsidRPr="000F0939">
        <w:rPr>
          <w:color w:val="3D3D3D"/>
          <w:szCs w:val="24"/>
          <w:shd w:val="clear" w:color="auto" w:fill="FFFFFF"/>
        </w:rPr>
        <w:t>2019)</w:t>
      </w:r>
      <w:r w:rsidR="000F0939" w:rsidRPr="000F0939">
        <w:rPr>
          <w:color w:val="3D3D3D"/>
          <w:szCs w:val="24"/>
          <w:shd w:val="clear" w:color="auto" w:fill="FFFFFF"/>
        </w:rPr>
        <w:t>…</w:t>
      </w:r>
      <w:proofErr w:type="gramEnd"/>
      <w:r w:rsidR="000F0939">
        <w:rPr>
          <w:color w:val="3D3D3D"/>
          <w:szCs w:val="24"/>
          <w:shd w:val="clear" w:color="auto" w:fill="FFFFFF"/>
        </w:rPr>
        <w:t>……………………………………………………..</w:t>
      </w:r>
      <w:r w:rsidR="000F0939" w:rsidRPr="000F0939">
        <w:rPr>
          <w:color w:val="3D3D3D"/>
          <w:szCs w:val="24"/>
          <w:shd w:val="clear" w:color="auto" w:fill="FFFFFF"/>
        </w:rPr>
        <w:t>.2</w:t>
      </w:r>
      <w:r w:rsidR="00C32887">
        <w:rPr>
          <w:color w:val="3D3D3D"/>
          <w:szCs w:val="24"/>
          <w:shd w:val="clear" w:color="auto" w:fill="FFFFFF"/>
        </w:rPr>
        <w:t>2</w:t>
      </w:r>
    </w:p>
    <w:p w14:paraId="531D92ED" w14:textId="7B1E6ADC" w:rsidR="00947D55" w:rsidRPr="00B96CAA" w:rsidRDefault="00947D55" w:rsidP="0033789C">
      <w:pPr>
        <w:pStyle w:val="NoSpacing"/>
        <w:jc w:val="both"/>
        <w:rPr>
          <w:szCs w:val="24"/>
          <w:lang w:eastAsia="ja-JP"/>
        </w:rPr>
      </w:pPr>
      <w:r w:rsidRPr="00947D55">
        <w:rPr>
          <w:i/>
          <w:szCs w:val="24"/>
          <w:lang w:eastAsia="ja-JP"/>
        </w:rPr>
        <w:t>Janus v. AFSCME, Council 31</w:t>
      </w:r>
      <w:r w:rsidR="00C3741F">
        <w:rPr>
          <w:i/>
          <w:szCs w:val="24"/>
          <w:lang w:eastAsia="ja-JP"/>
        </w:rPr>
        <w:t>,</w:t>
      </w:r>
      <w:r w:rsidRPr="00947D55">
        <w:rPr>
          <w:szCs w:val="24"/>
          <w:lang w:eastAsia="ja-JP"/>
        </w:rPr>
        <w:t xml:space="preserve"> </w:t>
      </w:r>
      <w:r w:rsidR="00C3741F" w:rsidRPr="00B96CAA">
        <w:rPr>
          <w:szCs w:val="24"/>
          <w:lang w:eastAsia="ja-JP"/>
        </w:rPr>
        <w:t xml:space="preserve">585 U.S. __ </w:t>
      </w:r>
      <w:r w:rsidRPr="00947D55">
        <w:rPr>
          <w:szCs w:val="24"/>
          <w:lang w:eastAsia="ja-JP"/>
        </w:rPr>
        <w:t>(</w:t>
      </w:r>
      <w:proofErr w:type="gramStart"/>
      <w:r w:rsidRPr="00947D55">
        <w:rPr>
          <w:szCs w:val="24"/>
          <w:lang w:eastAsia="ja-JP"/>
        </w:rPr>
        <w:t>2018)</w:t>
      </w:r>
      <w:r w:rsidR="0033789C">
        <w:rPr>
          <w:szCs w:val="24"/>
          <w:lang w:eastAsia="ja-JP"/>
        </w:rPr>
        <w:t>…</w:t>
      </w:r>
      <w:r w:rsidR="00C3741F">
        <w:rPr>
          <w:szCs w:val="24"/>
          <w:lang w:eastAsia="ja-JP"/>
        </w:rPr>
        <w:t>..</w:t>
      </w:r>
      <w:proofErr w:type="gramEnd"/>
      <w:r w:rsidR="0033789C">
        <w:rPr>
          <w:szCs w:val="24"/>
          <w:lang w:eastAsia="ja-JP"/>
        </w:rPr>
        <w:t>…………………………………………</w:t>
      </w:r>
      <w:r w:rsidR="00C32887">
        <w:rPr>
          <w:szCs w:val="24"/>
          <w:lang w:eastAsia="ja-JP"/>
        </w:rPr>
        <w:t>61</w:t>
      </w:r>
    </w:p>
    <w:p w14:paraId="3ADF4C33" w14:textId="41AF420D" w:rsidR="0045265B" w:rsidRPr="000F0939" w:rsidRDefault="0045265B" w:rsidP="00C941F9">
      <w:pPr>
        <w:pStyle w:val="NoSpacing"/>
        <w:jc w:val="both"/>
      </w:pPr>
      <w:r w:rsidRPr="000F0939">
        <w:rPr>
          <w:i/>
          <w:lang w:val="en-CA"/>
        </w:rPr>
        <w:fldChar w:fldCharType="begin"/>
      </w:r>
      <w:r w:rsidRPr="000F0939">
        <w:rPr>
          <w:i/>
          <w:lang w:val="en-CA"/>
        </w:rPr>
        <w:instrText xml:space="preserve"> SEQ CHAPTER \h \r 1</w:instrText>
      </w:r>
      <w:r w:rsidRPr="000F0939">
        <w:rPr>
          <w:i/>
          <w:lang w:val="en-CA"/>
        </w:rPr>
        <w:fldChar w:fldCharType="end"/>
      </w:r>
      <w:r w:rsidRPr="000F0939">
        <w:rPr>
          <w:i/>
        </w:rPr>
        <w:t>Manhattan Community Access Corp. v. Halleck</w:t>
      </w:r>
      <w:r w:rsidRPr="000F0939">
        <w:t>, 587 U. S.__ (</w:t>
      </w:r>
      <w:proofErr w:type="gramStart"/>
      <w:r w:rsidRPr="000F0939">
        <w:t>2019)</w:t>
      </w:r>
      <w:r w:rsidR="003C2FD6">
        <w:t>…</w:t>
      </w:r>
      <w:proofErr w:type="gramEnd"/>
      <w:r w:rsidR="003C2FD6">
        <w:t>…………………</w:t>
      </w:r>
      <w:r w:rsidR="00C941F9">
        <w:t>.</w:t>
      </w:r>
      <w:r w:rsidR="003C2FD6">
        <w:t>……..</w:t>
      </w:r>
      <w:r w:rsidR="00C32887">
        <w:t>85</w:t>
      </w:r>
    </w:p>
    <w:p w14:paraId="151652C4" w14:textId="3FB5EF6F" w:rsidR="0045265B" w:rsidRPr="0045265B" w:rsidRDefault="0045265B" w:rsidP="00C941F9">
      <w:pPr>
        <w:autoSpaceDE w:val="0"/>
        <w:autoSpaceDN w:val="0"/>
        <w:adjustRightInd w:val="0"/>
        <w:spacing w:after="0" w:line="240" w:lineRule="auto"/>
        <w:jc w:val="both"/>
        <w:rPr>
          <w:rFonts w:cs="Times New Roman"/>
          <w:szCs w:val="24"/>
        </w:rPr>
      </w:pPr>
      <w:r w:rsidRPr="0045265B">
        <w:rPr>
          <w:rFonts w:cs="Times New Roman"/>
          <w:i/>
          <w:szCs w:val="24"/>
          <w:lang w:val="en-CA"/>
        </w:rPr>
        <w:fldChar w:fldCharType="begin"/>
      </w:r>
      <w:r w:rsidRPr="0045265B">
        <w:rPr>
          <w:rFonts w:cs="Times New Roman"/>
          <w:i/>
          <w:szCs w:val="24"/>
          <w:lang w:val="en-CA"/>
        </w:rPr>
        <w:instrText xml:space="preserve"> SEQ CHAPTER \h \r 1</w:instrText>
      </w:r>
      <w:r w:rsidRPr="0045265B">
        <w:rPr>
          <w:rFonts w:cs="Times New Roman"/>
          <w:i/>
          <w:szCs w:val="24"/>
          <w:lang w:val="en-CA"/>
        </w:rPr>
        <w:fldChar w:fldCharType="end"/>
      </w:r>
      <w:r w:rsidRPr="0045265B">
        <w:rPr>
          <w:rFonts w:cs="Times New Roman"/>
          <w:i/>
          <w:szCs w:val="24"/>
        </w:rPr>
        <w:t>Masterpiece Cakeshop v. Colorado Civil Rights Commission</w:t>
      </w:r>
      <w:r w:rsidRPr="0045265B">
        <w:rPr>
          <w:rFonts w:cs="Times New Roman"/>
          <w:szCs w:val="24"/>
        </w:rPr>
        <w:t>, 585 U.S. __ (</w:t>
      </w:r>
      <w:proofErr w:type="gramStart"/>
      <w:r w:rsidRPr="0045265B">
        <w:rPr>
          <w:rFonts w:cs="Times New Roman"/>
          <w:szCs w:val="24"/>
        </w:rPr>
        <w:t>2018)....</w:t>
      </w:r>
      <w:r>
        <w:rPr>
          <w:rFonts w:cs="Times New Roman"/>
          <w:szCs w:val="24"/>
        </w:rPr>
        <w:t>.....</w:t>
      </w:r>
      <w:r w:rsidR="00C941F9">
        <w:rPr>
          <w:rFonts w:cs="Times New Roman"/>
          <w:szCs w:val="24"/>
        </w:rPr>
        <w:t>.</w:t>
      </w:r>
      <w:r>
        <w:rPr>
          <w:rFonts w:cs="Times New Roman"/>
          <w:szCs w:val="24"/>
        </w:rPr>
        <w:t>.........</w:t>
      </w:r>
      <w:r w:rsidRPr="0045265B">
        <w:rPr>
          <w:rFonts w:cs="Times New Roman"/>
          <w:szCs w:val="24"/>
        </w:rPr>
        <w:t>...</w:t>
      </w:r>
      <w:proofErr w:type="gramEnd"/>
      <w:r w:rsidR="00C32887">
        <w:rPr>
          <w:rFonts w:cs="Times New Roman"/>
          <w:szCs w:val="24"/>
        </w:rPr>
        <w:t>76</w:t>
      </w:r>
    </w:p>
    <w:p w14:paraId="71AD1DC9" w14:textId="502116F8" w:rsidR="00966EEA" w:rsidRPr="00B96CAA" w:rsidRDefault="00966EEA" w:rsidP="0033789C">
      <w:pPr>
        <w:pStyle w:val="NoSpacing"/>
        <w:jc w:val="both"/>
        <w:rPr>
          <w:szCs w:val="24"/>
          <w:lang w:eastAsia="ja-JP"/>
        </w:rPr>
      </w:pPr>
      <w:proofErr w:type="spellStart"/>
      <w:r w:rsidRPr="00B96CAA">
        <w:rPr>
          <w:i/>
          <w:szCs w:val="24"/>
          <w:lang w:eastAsia="ja-JP"/>
        </w:rPr>
        <w:t>Matal</w:t>
      </w:r>
      <w:proofErr w:type="spellEnd"/>
      <w:r w:rsidRPr="00B96CAA">
        <w:rPr>
          <w:i/>
          <w:szCs w:val="24"/>
          <w:lang w:eastAsia="ja-JP"/>
        </w:rPr>
        <w:t xml:space="preserve"> v. Tam</w:t>
      </w:r>
      <w:r w:rsidRPr="00B96CAA">
        <w:rPr>
          <w:szCs w:val="24"/>
          <w:lang w:eastAsia="ja-JP"/>
        </w:rPr>
        <w:t xml:space="preserve">, </w:t>
      </w:r>
      <w:r w:rsidRPr="00B96CAA">
        <w:rPr>
          <w:szCs w:val="24"/>
        </w:rPr>
        <w:t>582 U. S. __ (</w:t>
      </w:r>
      <w:proofErr w:type="gramStart"/>
      <w:r w:rsidRPr="00B96CAA">
        <w:rPr>
          <w:szCs w:val="24"/>
        </w:rPr>
        <w:t>2017)</w:t>
      </w:r>
      <w:r w:rsidR="0033789C">
        <w:rPr>
          <w:szCs w:val="24"/>
        </w:rPr>
        <w:t>…</w:t>
      </w:r>
      <w:proofErr w:type="gramEnd"/>
      <w:r w:rsidR="0033789C">
        <w:rPr>
          <w:szCs w:val="24"/>
        </w:rPr>
        <w:t>…………………………………………………………….</w:t>
      </w:r>
      <w:r w:rsidR="003C2FD6">
        <w:rPr>
          <w:szCs w:val="24"/>
        </w:rPr>
        <w:t>70</w:t>
      </w:r>
    </w:p>
    <w:p w14:paraId="092A0AA1" w14:textId="6E2B622E" w:rsidR="00E03CAD" w:rsidRPr="00B96CAA" w:rsidRDefault="00E03CAD" w:rsidP="0033789C">
      <w:pPr>
        <w:pStyle w:val="NoSpacing"/>
        <w:jc w:val="both"/>
        <w:rPr>
          <w:szCs w:val="24"/>
          <w:lang w:eastAsia="ja-JP"/>
        </w:rPr>
      </w:pPr>
      <w:r w:rsidRPr="00B96CAA">
        <w:rPr>
          <w:i/>
          <w:szCs w:val="24"/>
          <w:lang w:eastAsia="ja-JP"/>
        </w:rPr>
        <w:t xml:space="preserve">Minnesota Voters Alliance v. </w:t>
      </w:r>
      <w:proofErr w:type="spellStart"/>
      <w:r w:rsidRPr="00B96CAA">
        <w:rPr>
          <w:i/>
          <w:szCs w:val="24"/>
          <w:lang w:eastAsia="ja-JP"/>
        </w:rPr>
        <w:t>Mansky</w:t>
      </w:r>
      <w:proofErr w:type="spellEnd"/>
      <w:r w:rsidRPr="00B96CAA">
        <w:rPr>
          <w:szCs w:val="24"/>
          <w:lang w:eastAsia="ja-JP"/>
        </w:rPr>
        <w:t>, 585 U.S. __ (</w:t>
      </w:r>
      <w:proofErr w:type="gramStart"/>
      <w:r w:rsidRPr="00B96CAA">
        <w:rPr>
          <w:szCs w:val="24"/>
          <w:lang w:eastAsia="ja-JP"/>
        </w:rPr>
        <w:t>2018)</w:t>
      </w:r>
      <w:r w:rsidR="0033789C">
        <w:rPr>
          <w:szCs w:val="24"/>
          <w:lang w:eastAsia="ja-JP"/>
        </w:rPr>
        <w:t>…</w:t>
      </w:r>
      <w:proofErr w:type="gramEnd"/>
      <w:r w:rsidR="0033789C">
        <w:rPr>
          <w:szCs w:val="24"/>
          <w:lang w:eastAsia="ja-JP"/>
        </w:rPr>
        <w:t>……………………………………</w:t>
      </w:r>
      <w:r w:rsidR="00C32887">
        <w:rPr>
          <w:szCs w:val="24"/>
          <w:lang w:eastAsia="ja-JP"/>
        </w:rPr>
        <w:t>67</w:t>
      </w:r>
    </w:p>
    <w:p w14:paraId="44452B6A" w14:textId="70B55B75" w:rsidR="00C3741F" w:rsidRDefault="00C3741F" w:rsidP="0033789C">
      <w:pPr>
        <w:pStyle w:val="NoSpacing"/>
        <w:jc w:val="both"/>
        <w:rPr>
          <w:i/>
          <w:szCs w:val="24"/>
          <w:lang w:eastAsia="ja-JP"/>
        </w:rPr>
      </w:pPr>
      <w:r>
        <w:rPr>
          <w:i/>
          <w:szCs w:val="24"/>
          <w:lang w:eastAsia="ja-JP"/>
        </w:rPr>
        <w:t xml:space="preserve">Murphy v. NCAA, </w:t>
      </w:r>
      <w:r w:rsidRPr="00B96CAA">
        <w:rPr>
          <w:szCs w:val="24"/>
          <w:lang w:eastAsia="ja-JP"/>
        </w:rPr>
        <w:t>58</w:t>
      </w:r>
      <w:r>
        <w:rPr>
          <w:szCs w:val="24"/>
          <w:lang w:eastAsia="ja-JP"/>
        </w:rPr>
        <w:t>4</w:t>
      </w:r>
      <w:r w:rsidRPr="00B96CAA">
        <w:rPr>
          <w:szCs w:val="24"/>
          <w:lang w:eastAsia="ja-JP"/>
        </w:rPr>
        <w:t xml:space="preserve"> U.S. __</w:t>
      </w:r>
      <w:r>
        <w:rPr>
          <w:szCs w:val="24"/>
          <w:lang w:eastAsia="ja-JP"/>
        </w:rPr>
        <w:t xml:space="preserve"> (</w:t>
      </w:r>
      <w:proofErr w:type="gramStart"/>
      <w:r>
        <w:rPr>
          <w:szCs w:val="24"/>
          <w:lang w:eastAsia="ja-JP"/>
        </w:rPr>
        <w:t>2018)…</w:t>
      </w:r>
      <w:proofErr w:type="gramEnd"/>
      <w:r>
        <w:rPr>
          <w:szCs w:val="24"/>
          <w:lang w:eastAsia="ja-JP"/>
        </w:rPr>
        <w:t>…………………………………………………………...1</w:t>
      </w:r>
    </w:p>
    <w:p w14:paraId="0EF0D902" w14:textId="16225C5B" w:rsidR="00C941F9" w:rsidRPr="00C941F9" w:rsidRDefault="00C941F9" w:rsidP="00C941F9">
      <w:pPr>
        <w:pStyle w:val="NoSpacing"/>
        <w:jc w:val="both"/>
        <w:rPr>
          <w:szCs w:val="22"/>
        </w:rPr>
      </w:pPr>
      <w:r w:rsidRPr="00C941F9">
        <w:rPr>
          <w:i/>
        </w:rPr>
        <w:t>National Institute of Family and Life Advocates v. Becerra</w:t>
      </w:r>
      <w:r>
        <w:t xml:space="preserve">, </w:t>
      </w:r>
      <w:r w:rsidRPr="00B96CAA">
        <w:t xml:space="preserve">585 U.S. </w:t>
      </w:r>
      <w:r w:rsidRPr="00B96CAA">
        <w:rPr>
          <w:u w:val="single"/>
        </w:rPr>
        <w:t>__</w:t>
      </w:r>
      <w:r w:rsidRPr="00B96CAA">
        <w:t xml:space="preserve"> </w:t>
      </w:r>
      <w:r>
        <w:t>(</w:t>
      </w:r>
      <w:proofErr w:type="gramStart"/>
      <w:r w:rsidRPr="00B96CAA">
        <w:t>2018)</w:t>
      </w:r>
      <w:r>
        <w:t>…</w:t>
      </w:r>
      <w:proofErr w:type="gramEnd"/>
      <w:r>
        <w:t>………..…….52</w:t>
      </w:r>
    </w:p>
    <w:p w14:paraId="316F9394" w14:textId="3F3DC4DC" w:rsidR="00E03CAD" w:rsidRPr="00B96CAA" w:rsidRDefault="00E03CAD" w:rsidP="00C941F9">
      <w:pPr>
        <w:pStyle w:val="NoSpacing"/>
        <w:jc w:val="both"/>
        <w:rPr>
          <w:szCs w:val="24"/>
          <w:lang w:eastAsia="ja-JP"/>
        </w:rPr>
      </w:pPr>
      <w:proofErr w:type="spellStart"/>
      <w:r w:rsidRPr="00C941F9">
        <w:rPr>
          <w:i/>
          <w:szCs w:val="24"/>
          <w:lang w:eastAsia="ja-JP"/>
        </w:rPr>
        <w:t>Packingham</w:t>
      </w:r>
      <w:proofErr w:type="spellEnd"/>
      <w:r w:rsidRPr="00C941F9">
        <w:rPr>
          <w:i/>
          <w:szCs w:val="24"/>
          <w:lang w:eastAsia="ja-JP"/>
        </w:rPr>
        <w:t xml:space="preserve"> v. North Carolina</w:t>
      </w:r>
      <w:r w:rsidRPr="00B96CAA">
        <w:rPr>
          <w:szCs w:val="24"/>
          <w:lang w:eastAsia="ja-JP"/>
        </w:rPr>
        <w:t>, 58</w:t>
      </w:r>
      <w:r w:rsidR="00966EEA" w:rsidRPr="00B96CAA">
        <w:rPr>
          <w:szCs w:val="24"/>
          <w:lang w:eastAsia="ja-JP"/>
        </w:rPr>
        <w:t>2</w:t>
      </w:r>
      <w:r w:rsidRPr="00B96CAA">
        <w:rPr>
          <w:szCs w:val="24"/>
          <w:lang w:eastAsia="ja-JP"/>
        </w:rPr>
        <w:t xml:space="preserve"> U.S. __ (</w:t>
      </w:r>
      <w:proofErr w:type="gramStart"/>
      <w:r w:rsidRPr="00B96CAA">
        <w:rPr>
          <w:szCs w:val="24"/>
          <w:lang w:eastAsia="ja-JP"/>
        </w:rPr>
        <w:t>2017)</w:t>
      </w:r>
      <w:r w:rsidR="0033789C">
        <w:rPr>
          <w:szCs w:val="24"/>
          <w:lang w:eastAsia="ja-JP"/>
        </w:rPr>
        <w:t>…</w:t>
      </w:r>
      <w:proofErr w:type="gramEnd"/>
      <w:r w:rsidR="0033789C">
        <w:rPr>
          <w:szCs w:val="24"/>
          <w:lang w:eastAsia="ja-JP"/>
        </w:rPr>
        <w:t>…………………………………</w:t>
      </w:r>
      <w:r w:rsidR="00C941F9">
        <w:rPr>
          <w:szCs w:val="24"/>
          <w:lang w:eastAsia="ja-JP"/>
        </w:rPr>
        <w:t>..</w:t>
      </w:r>
      <w:r w:rsidR="0033789C">
        <w:rPr>
          <w:szCs w:val="24"/>
          <w:lang w:eastAsia="ja-JP"/>
        </w:rPr>
        <w:t>…</w:t>
      </w:r>
      <w:r w:rsidR="00C941F9">
        <w:rPr>
          <w:szCs w:val="24"/>
          <w:lang w:eastAsia="ja-JP"/>
        </w:rPr>
        <w:t>...</w:t>
      </w:r>
      <w:r w:rsidR="0033789C">
        <w:rPr>
          <w:szCs w:val="24"/>
          <w:lang w:eastAsia="ja-JP"/>
        </w:rPr>
        <w:t>…..</w:t>
      </w:r>
      <w:r w:rsidR="00C32887">
        <w:rPr>
          <w:szCs w:val="24"/>
          <w:lang w:eastAsia="ja-JP"/>
        </w:rPr>
        <w:t>66</w:t>
      </w:r>
    </w:p>
    <w:p w14:paraId="5186C3CE" w14:textId="7B85C68F" w:rsidR="000C796D" w:rsidRPr="00C32887" w:rsidRDefault="000C796D" w:rsidP="00C941F9">
      <w:pPr>
        <w:pStyle w:val="NoSpacing"/>
        <w:jc w:val="both"/>
        <w:rPr>
          <w:bCs/>
        </w:rPr>
      </w:pPr>
      <w:proofErr w:type="spellStart"/>
      <w:r w:rsidRPr="00C32887">
        <w:rPr>
          <w:i/>
        </w:rPr>
        <w:t>Rucho</w:t>
      </w:r>
      <w:proofErr w:type="spellEnd"/>
      <w:r w:rsidRPr="00C32887">
        <w:rPr>
          <w:i/>
        </w:rPr>
        <w:t xml:space="preserve"> v. Common Cause</w:t>
      </w:r>
      <w:r w:rsidRPr="00C32887">
        <w:t xml:space="preserve">, </w:t>
      </w:r>
      <w:r w:rsidRPr="00C32887">
        <w:rPr>
          <w:bCs/>
        </w:rPr>
        <w:t>588 U.S. __ (</w:t>
      </w:r>
      <w:proofErr w:type="gramStart"/>
      <w:r w:rsidRPr="00C32887">
        <w:rPr>
          <w:bCs/>
        </w:rPr>
        <w:t>2019)</w:t>
      </w:r>
      <w:r w:rsidR="00C32887">
        <w:rPr>
          <w:bCs/>
        </w:rPr>
        <w:t>…</w:t>
      </w:r>
      <w:proofErr w:type="gramEnd"/>
      <w:r w:rsidR="00C32887">
        <w:rPr>
          <w:bCs/>
        </w:rPr>
        <w:t>…………………………………………</w:t>
      </w:r>
      <w:r w:rsidR="00C941F9">
        <w:rPr>
          <w:bCs/>
        </w:rPr>
        <w:t>.</w:t>
      </w:r>
      <w:r w:rsidR="00C32887">
        <w:rPr>
          <w:bCs/>
        </w:rPr>
        <w:t>……..</w:t>
      </w:r>
      <w:r w:rsidR="00C32887" w:rsidRPr="00C32887">
        <w:rPr>
          <w:bCs/>
        </w:rPr>
        <w:t>45</w:t>
      </w:r>
    </w:p>
    <w:p w14:paraId="56DA4BEB" w14:textId="27DE3A11" w:rsidR="00966EEA" w:rsidRDefault="00966EEA" w:rsidP="0033789C">
      <w:pPr>
        <w:pStyle w:val="NoSpacing"/>
        <w:jc w:val="both"/>
        <w:rPr>
          <w:szCs w:val="24"/>
          <w:lang w:eastAsia="ja-JP"/>
        </w:rPr>
      </w:pPr>
      <w:r w:rsidRPr="00B96CAA">
        <w:rPr>
          <w:i/>
          <w:szCs w:val="24"/>
          <w:lang w:eastAsia="ja-JP"/>
        </w:rPr>
        <w:t>South Dakota v. Wayfair</w:t>
      </w:r>
      <w:r w:rsidRPr="00B96CAA">
        <w:rPr>
          <w:szCs w:val="24"/>
          <w:lang w:eastAsia="ja-JP"/>
        </w:rPr>
        <w:t>, 585 U.S. __ (</w:t>
      </w:r>
      <w:proofErr w:type="gramStart"/>
      <w:r w:rsidRPr="00B96CAA">
        <w:rPr>
          <w:szCs w:val="24"/>
          <w:lang w:eastAsia="ja-JP"/>
        </w:rPr>
        <w:t>2018)</w:t>
      </w:r>
      <w:r w:rsidR="0033789C">
        <w:rPr>
          <w:szCs w:val="24"/>
          <w:lang w:eastAsia="ja-JP"/>
        </w:rPr>
        <w:t>…</w:t>
      </w:r>
      <w:proofErr w:type="gramEnd"/>
      <w:r w:rsidR="0033789C">
        <w:rPr>
          <w:szCs w:val="24"/>
          <w:lang w:eastAsia="ja-JP"/>
        </w:rPr>
        <w:t>…………………………………………………</w:t>
      </w:r>
      <w:r w:rsidR="00C32887">
        <w:rPr>
          <w:szCs w:val="24"/>
          <w:lang w:eastAsia="ja-JP"/>
        </w:rPr>
        <w:t>27</w:t>
      </w:r>
    </w:p>
    <w:p w14:paraId="6B758E6C" w14:textId="639B677B" w:rsidR="00063E86" w:rsidRPr="00C32887" w:rsidRDefault="00063E86" w:rsidP="00063E86">
      <w:pPr>
        <w:pStyle w:val="NoSpacing"/>
      </w:pPr>
      <w:proofErr w:type="spellStart"/>
      <w:r w:rsidRPr="00C32887">
        <w:rPr>
          <w:i/>
        </w:rPr>
        <w:t>Timbs</w:t>
      </w:r>
      <w:proofErr w:type="spellEnd"/>
      <w:r w:rsidRPr="00C32887">
        <w:rPr>
          <w:i/>
        </w:rPr>
        <w:t xml:space="preserve"> v. Indiana</w:t>
      </w:r>
      <w:r w:rsidRPr="00C32887">
        <w:t>, 586 U.S. __ (</w:t>
      </w:r>
      <w:proofErr w:type="gramStart"/>
      <w:r w:rsidRPr="00C32887">
        <w:t>2019)</w:t>
      </w:r>
      <w:r w:rsidR="00C32887">
        <w:t>…</w:t>
      </w:r>
      <w:proofErr w:type="gramEnd"/>
      <w:r w:rsidR="00C32887">
        <w:t>…………………………………………………………</w:t>
      </w:r>
      <w:r w:rsidR="00C32887" w:rsidRPr="00C32887">
        <w:t>31</w:t>
      </w:r>
    </w:p>
    <w:p w14:paraId="6F368961" w14:textId="570AB5D3" w:rsidR="00B42F0F" w:rsidRDefault="00966EEA" w:rsidP="00063E86">
      <w:pPr>
        <w:rPr>
          <w:szCs w:val="24"/>
          <w:lang w:eastAsia="ja-JP"/>
        </w:rPr>
      </w:pPr>
      <w:r w:rsidRPr="00B96CAA">
        <w:rPr>
          <w:i/>
          <w:szCs w:val="24"/>
          <w:lang w:eastAsia="ja-JP"/>
        </w:rPr>
        <w:t>Trump v. Hawaii</w:t>
      </w:r>
      <w:r w:rsidRPr="00B96CAA">
        <w:rPr>
          <w:szCs w:val="24"/>
          <w:lang w:eastAsia="ja-JP"/>
        </w:rPr>
        <w:t>, 585 U.S. __ 2018)</w:t>
      </w:r>
      <w:r w:rsidR="0033789C">
        <w:rPr>
          <w:szCs w:val="24"/>
          <w:lang w:eastAsia="ja-JP"/>
        </w:rPr>
        <w:t>…………………………………………………………….</w:t>
      </w:r>
      <w:r w:rsidR="00C32887">
        <w:rPr>
          <w:szCs w:val="24"/>
          <w:lang w:eastAsia="ja-JP"/>
        </w:rPr>
        <w:t>23</w:t>
      </w:r>
    </w:p>
    <w:p w14:paraId="554A3C0F" w14:textId="77777777" w:rsidR="00B42F0F" w:rsidRDefault="00B42F0F">
      <w:pPr>
        <w:rPr>
          <w:szCs w:val="24"/>
          <w:lang w:eastAsia="ja-JP"/>
        </w:rPr>
      </w:pPr>
      <w:r>
        <w:rPr>
          <w:szCs w:val="24"/>
          <w:lang w:eastAsia="ja-JP"/>
        </w:rPr>
        <w:br w:type="page"/>
      </w:r>
    </w:p>
    <w:p w14:paraId="5D0E4A60" w14:textId="77777777" w:rsidR="00966EEA" w:rsidRPr="00063E86" w:rsidRDefault="00966EEA" w:rsidP="00063E86">
      <w:pPr>
        <w:rPr>
          <w:b/>
        </w:rPr>
      </w:pPr>
    </w:p>
    <w:p w14:paraId="1B5FAB19" w14:textId="77777777" w:rsidR="0033789C" w:rsidRPr="00B96CAA" w:rsidRDefault="0033789C" w:rsidP="0033789C">
      <w:pPr>
        <w:pStyle w:val="NoSpacing"/>
        <w:jc w:val="both"/>
        <w:rPr>
          <w:szCs w:val="24"/>
          <w:lang w:eastAsia="ja-JP"/>
        </w:rPr>
      </w:pPr>
    </w:p>
    <w:p w14:paraId="04F1D0B2" w14:textId="77777777" w:rsidR="005C6001" w:rsidRPr="00B96CAA" w:rsidRDefault="005C6001" w:rsidP="00966EEA">
      <w:pPr>
        <w:pStyle w:val="NoSpacing"/>
        <w:rPr>
          <w:szCs w:val="24"/>
          <w:lang w:eastAsia="ja-JP"/>
        </w:rPr>
        <w:sectPr w:rsidR="005C6001" w:rsidRPr="00B96CAA" w:rsidSect="000703D5">
          <w:footerReference w:type="default" r:id="rId9"/>
          <w:footnotePr>
            <w:numRestart w:val="eachSect"/>
          </w:footnotePr>
          <w:pgSz w:w="12240" w:h="15840" w:code="1"/>
          <w:pgMar w:top="1440" w:right="1440" w:bottom="1440" w:left="1440" w:header="720" w:footer="432" w:gutter="0"/>
          <w:pgNumType w:fmt="lowerRoman" w:start="1"/>
          <w:cols w:space="720"/>
          <w:docGrid w:linePitch="360"/>
        </w:sectPr>
      </w:pPr>
    </w:p>
    <w:p w14:paraId="169CC987" w14:textId="77777777" w:rsidR="00C3741F" w:rsidRDefault="00C3741F" w:rsidP="00C3741F">
      <w:pPr>
        <w:pStyle w:val="Heading1"/>
        <w:rPr>
          <w:lang w:val="en-CA"/>
        </w:rPr>
      </w:pPr>
      <w:bookmarkStart w:id="2" w:name="_Toc16886237"/>
      <w:bookmarkStart w:id="3" w:name="_Toc269746918"/>
      <w:bookmarkStart w:id="4" w:name="_Toc269892539"/>
      <w:bookmarkStart w:id="5" w:name="_Toc269894334"/>
      <w:bookmarkStart w:id="6" w:name="_Toc269894810"/>
      <w:bookmarkStart w:id="7" w:name="_Toc427688054"/>
      <w:bookmarkStart w:id="8" w:name="_Toc459128200"/>
      <w:bookmarkStart w:id="9" w:name="_Toc490745373"/>
      <w:bookmarkStart w:id="10" w:name="_Hlk521591421"/>
      <w:r>
        <w:rPr>
          <w:lang w:val="en-CA"/>
        </w:rPr>
        <w:lastRenderedPageBreak/>
        <w:t>Chapter 3. Limits on Federal Power: The Federal Structure, the 10</w:t>
      </w:r>
      <w:r w:rsidRPr="00747CCA">
        <w:rPr>
          <w:vertAlign w:val="superscript"/>
          <w:lang w:val="en-CA"/>
        </w:rPr>
        <w:t>th</w:t>
      </w:r>
      <w:r>
        <w:rPr>
          <w:lang w:val="en-CA"/>
        </w:rPr>
        <w:t xml:space="preserve"> Amendment, and State Sovereign Immunity. Part II, National Power and State Power: The 10</w:t>
      </w:r>
      <w:r w:rsidRPr="00747CCA">
        <w:rPr>
          <w:vertAlign w:val="superscript"/>
          <w:lang w:val="en-CA"/>
        </w:rPr>
        <w:t>th</w:t>
      </w:r>
      <w:r>
        <w:rPr>
          <w:lang w:val="en-CA"/>
        </w:rPr>
        <w:t xml:space="preserve"> Amendment</w:t>
      </w:r>
      <w:bookmarkEnd w:id="2"/>
    </w:p>
    <w:p w14:paraId="17EBFEE9" w14:textId="77777777" w:rsidR="00C3741F" w:rsidRDefault="00C3741F" w:rsidP="00C3741F">
      <w:pPr>
        <w:autoSpaceDE w:val="0"/>
        <w:autoSpaceDN w:val="0"/>
        <w:adjustRightInd w:val="0"/>
        <w:ind w:firstLine="720"/>
        <w:rPr>
          <w:rFonts w:cs="Times New Roman"/>
          <w:szCs w:val="24"/>
          <w:lang w:val="en-CA"/>
        </w:rPr>
      </w:pPr>
      <w:r>
        <w:rPr>
          <w:rFonts w:cs="Times New Roman"/>
          <w:szCs w:val="24"/>
          <w:lang w:val="en-CA"/>
        </w:rPr>
        <w:t>[</w:t>
      </w:r>
      <w:r w:rsidRPr="00747CCA">
        <w:rPr>
          <w:rFonts w:cs="Times New Roman"/>
          <w:i/>
          <w:szCs w:val="24"/>
          <w:lang w:val="en-CA"/>
        </w:rPr>
        <w:t xml:space="preserve">Insert on page 221 following note on </w:t>
      </w:r>
      <w:r w:rsidRPr="006D4570">
        <w:rPr>
          <w:rFonts w:cs="Times New Roman"/>
          <w:szCs w:val="24"/>
          <w:lang w:val="en-CA"/>
        </w:rPr>
        <w:t>Printz</w:t>
      </w:r>
      <w:r>
        <w:rPr>
          <w:rFonts w:cs="Times New Roman"/>
          <w:szCs w:val="24"/>
          <w:lang w:val="en-CA"/>
        </w:rPr>
        <w:t>.]</w:t>
      </w:r>
    </w:p>
    <w:p w14:paraId="539EF354" w14:textId="77777777" w:rsidR="00C3741F" w:rsidRPr="00C3741F" w:rsidRDefault="00C3741F" w:rsidP="00C3741F">
      <w:pPr>
        <w:pStyle w:val="Heading2"/>
        <w:jc w:val="center"/>
        <w:rPr>
          <w:lang w:val="en-CA"/>
        </w:rPr>
      </w:pPr>
      <w:bookmarkStart w:id="11" w:name="_Toc16886238"/>
      <w:r w:rsidRPr="00C3741F">
        <w:rPr>
          <w:lang w:val="en-CA"/>
        </w:rPr>
        <w:t xml:space="preserve">Note: </w:t>
      </w:r>
      <w:r w:rsidRPr="00C3741F">
        <w:rPr>
          <w:i/>
          <w:lang w:val="en-CA"/>
        </w:rPr>
        <w:t>Murphy v. NCAA</w:t>
      </w:r>
      <w:r w:rsidRPr="00C3741F">
        <w:rPr>
          <w:lang w:val="en-CA"/>
        </w:rPr>
        <w:t xml:space="preserve"> (2018)</w:t>
      </w:r>
      <w:bookmarkEnd w:id="11"/>
    </w:p>
    <w:p w14:paraId="13E9D0AF" w14:textId="77777777" w:rsidR="00C3741F" w:rsidRPr="001858AA" w:rsidRDefault="00C3741F" w:rsidP="00C3741F">
      <w:pPr>
        <w:autoSpaceDE w:val="0"/>
        <w:autoSpaceDN w:val="0"/>
        <w:adjustRightInd w:val="0"/>
        <w:ind w:firstLine="720"/>
        <w:rPr>
          <w:rFonts w:cs="Times New Roman"/>
          <w:szCs w:val="24"/>
        </w:rPr>
      </w:pPr>
      <w:r>
        <w:rPr>
          <w:rFonts w:cs="Times New Roman"/>
          <w:szCs w:val="24"/>
          <w:lang w:val="en-CA"/>
        </w:rPr>
        <w:t xml:space="preserve">Sports gambling is a multi-billion dollar industry, much of which occurs illegally. </w:t>
      </w:r>
      <w:r w:rsidRPr="001858AA">
        <w:rPr>
          <w:rFonts w:cs="Times New Roman"/>
          <w:szCs w:val="24"/>
          <w:lang w:val="en-CA"/>
        </w:rPr>
        <w:fldChar w:fldCharType="begin"/>
      </w:r>
      <w:r w:rsidRPr="001858AA">
        <w:rPr>
          <w:rFonts w:cs="Times New Roman"/>
          <w:szCs w:val="24"/>
          <w:lang w:val="en-CA"/>
        </w:rPr>
        <w:instrText xml:space="preserve"> SEQ CHAPTER \h \r 1</w:instrText>
      </w:r>
      <w:r w:rsidRPr="001858AA">
        <w:rPr>
          <w:rFonts w:cs="Times New Roman"/>
          <w:szCs w:val="24"/>
          <w:lang w:val="en-CA"/>
        </w:rPr>
        <w:fldChar w:fldCharType="end"/>
      </w:r>
      <w:r w:rsidRPr="001858AA">
        <w:rPr>
          <w:rFonts w:cs="Times New Roman"/>
          <w:szCs w:val="24"/>
        </w:rPr>
        <w:t xml:space="preserve">The </w:t>
      </w:r>
      <w:r>
        <w:rPr>
          <w:rFonts w:cs="Times New Roman"/>
          <w:szCs w:val="24"/>
        </w:rPr>
        <w:t xml:space="preserve">federal </w:t>
      </w:r>
      <w:r w:rsidRPr="001858AA">
        <w:rPr>
          <w:rFonts w:cs="Times New Roman"/>
          <w:szCs w:val="24"/>
        </w:rPr>
        <w:t xml:space="preserve">Professional and Amateur Sports Protection Act </w:t>
      </w:r>
      <w:r>
        <w:rPr>
          <w:rFonts w:cs="Times New Roman"/>
          <w:szCs w:val="24"/>
        </w:rPr>
        <w:t xml:space="preserve">of 1992 </w:t>
      </w:r>
      <w:r w:rsidRPr="001858AA">
        <w:rPr>
          <w:rFonts w:cs="Times New Roman"/>
          <w:szCs w:val="24"/>
        </w:rPr>
        <w:t>(</w:t>
      </w:r>
      <w:r w:rsidRPr="001858AA">
        <w:rPr>
          <w:rFonts w:cs="Times New Roman"/>
          <w:color w:val="252525"/>
          <w:szCs w:val="24"/>
        </w:rPr>
        <w:t>PASPA</w:t>
      </w:r>
      <w:r w:rsidRPr="001858AA">
        <w:rPr>
          <w:rFonts w:cs="Times New Roman"/>
          <w:szCs w:val="24"/>
        </w:rPr>
        <w:t>) makes it unlawful for a State “to sponsor, operate, advertise, promote, license, or authorize by law or compact...a lottery, sweepstakes, or other betting, gambling, or wagering scheme based...on” competitive sporting events,</w:t>
      </w:r>
      <w:r>
        <w:rPr>
          <w:rFonts w:cs="Times New Roman"/>
          <w:szCs w:val="24"/>
        </w:rPr>
        <w:t xml:space="preserve"> </w:t>
      </w:r>
      <w:r w:rsidRPr="001858AA">
        <w:rPr>
          <w:rFonts w:cs="Times New Roman"/>
          <w:szCs w:val="24"/>
        </w:rPr>
        <w:t xml:space="preserve">28 U.S.C. §3702(1), and for “a person to sponsor, operate, advertise, or promote” those same gambling schemes if done “pursuant to the law or compact of a governmental entity,” §3702(2). But </w:t>
      </w:r>
      <w:r w:rsidRPr="001858AA">
        <w:rPr>
          <w:rFonts w:cs="Times New Roman"/>
          <w:color w:val="252525"/>
          <w:szCs w:val="24"/>
        </w:rPr>
        <w:t>PASPA</w:t>
      </w:r>
      <w:r w:rsidRPr="001858AA">
        <w:rPr>
          <w:rFonts w:cs="Times New Roman"/>
          <w:szCs w:val="24"/>
        </w:rPr>
        <w:t xml:space="preserve"> does not make sports gambling itself a federal crime. Instead, it allows the Attorney General, as well as professional and amateur sports organizations, to bring civil actions to enjoin violations. §3703. “Grandfather” provisions allow existing forms of sports gambling to continue in four States, §3704(a)(1)-(2), and another provision would have permitted New Jersey to set up a sports gambling scheme in Atlantic City within a year of </w:t>
      </w:r>
      <w:r w:rsidRPr="001858AA">
        <w:rPr>
          <w:rFonts w:cs="Times New Roman"/>
          <w:color w:val="252525"/>
          <w:szCs w:val="24"/>
        </w:rPr>
        <w:t>PASPA's</w:t>
      </w:r>
      <w:r w:rsidRPr="001858AA">
        <w:rPr>
          <w:rFonts w:cs="Times New Roman"/>
          <w:szCs w:val="24"/>
        </w:rPr>
        <w:t xml:space="preserve"> enactment, §3704(a)(3).</w:t>
      </w:r>
    </w:p>
    <w:p w14:paraId="0BF78406" w14:textId="77777777" w:rsidR="00C3741F" w:rsidRPr="001858AA" w:rsidRDefault="00C3741F" w:rsidP="00C3741F">
      <w:pPr>
        <w:autoSpaceDE w:val="0"/>
        <w:autoSpaceDN w:val="0"/>
        <w:adjustRightInd w:val="0"/>
        <w:ind w:firstLine="720"/>
        <w:rPr>
          <w:rFonts w:cs="Times New Roman"/>
          <w:szCs w:val="24"/>
        </w:rPr>
      </w:pPr>
      <w:r w:rsidRPr="001858AA">
        <w:rPr>
          <w:rFonts w:cs="Times New Roman"/>
          <w:szCs w:val="24"/>
        </w:rPr>
        <w:t xml:space="preserve">New Jersey did not take advantage of that option but subsequently changed its mind. After voters approved an amendment to the State Constitution giving the legislature the authority to legalize sports gambling schemes in Atlantic City and at horseracing tracks, the legislature enacted a 2012 law doing just that. The NCAA and three major professional sports leagues brought an action in federal court against New Jersey's Governor and other state officials, seeking to enjoin the law on the ground that it violates </w:t>
      </w:r>
      <w:r w:rsidRPr="001858AA">
        <w:rPr>
          <w:rFonts w:cs="Times New Roman"/>
          <w:color w:val="252525"/>
          <w:szCs w:val="24"/>
        </w:rPr>
        <w:t>PASPA</w:t>
      </w:r>
      <w:r w:rsidRPr="001858AA">
        <w:rPr>
          <w:rFonts w:cs="Times New Roman"/>
          <w:szCs w:val="24"/>
        </w:rPr>
        <w:t xml:space="preserve">. New Jersey countered that </w:t>
      </w:r>
      <w:r w:rsidRPr="001858AA">
        <w:rPr>
          <w:rFonts w:cs="Times New Roman"/>
          <w:color w:val="252525"/>
          <w:szCs w:val="24"/>
        </w:rPr>
        <w:t>PASPA</w:t>
      </w:r>
      <w:r w:rsidRPr="001858AA">
        <w:rPr>
          <w:rFonts w:cs="Times New Roman"/>
          <w:szCs w:val="24"/>
        </w:rPr>
        <w:t xml:space="preserve"> violates the Constitution's “anticommandeering” principle by preventing the State from modifying or repealing its laws prohibiting sports gambling. The District Court found no anticommandeering violation, the Third Circuit affirmed, and the Supreme Court denied review.</w:t>
      </w:r>
    </w:p>
    <w:p w14:paraId="3190815E" w14:textId="77777777" w:rsidR="00C3741F" w:rsidRPr="001858AA" w:rsidRDefault="00C3741F" w:rsidP="00D15C8F">
      <w:pPr>
        <w:autoSpaceDE w:val="0"/>
        <w:autoSpaceDN w:val="0"/>
        <w:adjustRightInd w:val="0"/>
        <w:ind w:firstLine="720"/>
        <w:rPr>
          <w:rFonts w:cs="Times New Roman"/>
          <w:szCs w:val="24"/>
        </w:rPr>
      </w:pPr>
      <w:r w:rsidRPr="001858AA">
        <w:rPr>
          <w:rFonts w:cs="Times New Roman"/>
          <w:szCs w:val="24"/>
        </w:rPr>
        <w:t xml:space="preserve">In 2014, the New Jersey Legislature enacted a new law. Instead of affirmatively authorizing sports gambling schemes, this law repealed state-law provisions that prohibited such schemes, insofar as they concerned wagering on sporting events by persons 21 years of age or older; at a horseracing track or a casino or gambling house in Atlantic City; and only as to wagers on sporting events not involving a New Jersey college team or a collegiate event taking place in the State. The plaintiffs in the earlier suit </w:t>
      </w:r>
      <w:r>
        <w:rPr>
          <w:rFonts w:cs="Times New Roman"/>
          <w:szCs w:val="24"/>
        </w:rPr>
        <w:t xml:space="preserve">then </w:t>
      </w:r>
      <w:r w:rsidRPr="001858AA">
        <w:rPr>
          <w:rFonts w:cs="Times New Roman"/>
          <w:szCs w:val="24"/>
        </w:rPr>
        <w:t xml:space="preserve">filed a new action in federal court. They won in the District Court, and the Third Circuit affirmed, holding that the 2014 law, no less than the 2012 one, violates </w:t>
      </w:r>
      <w:r w:rsidRPr="001858AA">
        <w:rPr>
          <w:rFonts w:cs="Times New Roman"/>
          <w:color w:val="252525"/>
          <w:szCs w:val="24"/>
        </w:rPr>
        <w:t>PASPA</w:t>
      </w:r>
      <w:r w:rsidRPr="001858AA">
        <w:rPr>
          <w:rFonts w:cs="Times New Roman"/>
          <w:szCs w:val="24"/>
        </w:rPr>
        <w:t>. The court further held that the prohibition does not “commandeer” the States in violation of the Constitution.</w:t>
      </w:r>
    </w:p>
    <w:p w14:paraId="0FBFCCEA" w14:textId="77777777" w:rsidR="00C3741F" w:rsidRPr="006F17E3" w:rsidRDefault="00C3741F" w:rsidP="00C3741F">
      <w:pPr>
        <w:rPr>
          <w:rFonts w:cs="Times New Roman"/>
        </w:rPr>
      </w:pPr>
      <w:r w:rsidRPr="001858AA">
        <w:rPr>
          <w:rFonts w:cs="Times New Roman"/>
          <w:szCs w:val="24"/>
        </w:rPr>
        <w:tab/>
      </w:r>
      <w:r>
        <w:rPr>
          <w:rFonts w:cs="Times New Roman"/>
          <w:szCs w:val="24"/>
        </w:rPr>
        <w:t xml:space="preserve">In </w:t>
      </w:r>
      <w:r w:rsidRPr="00CB1739">
        <w:rPr>
          <w:rFonts w:cs="Times New Roman"/>
          <w:i/>
          <w:szCs w:val="24"/>
        </w:rPr>
        <w:t>Murphy v. NCAA</w:t>
      </w:r>
      <w:r>
        <w:rPr>
          <w:rFonts w:cs="Times New Roman"/>
          <w:szCs w:val="24"/>
        </w:rPr>
        <w:t xml:space="preserve"> (2018), t</w:t>
      </w:r>
      <w:r w:rsidRPr="001858AA">
        <w:rPr>
          <w:rFonts w:cs="Times New Roman"/>
          <w:szCs w:val="24"/>
        </w:rPr>
        <w:t>he Supreme Court reversed.</w:t>
      </w:r>
      <w:r w:rsidRPr="006F17E3">
        <w:rPr>
          <w:rFonts w:cs="Times New Roman"/>
          <w:szCs w:val="24"/>
        </w:rPr>
        <w:t xml:space="preserve"> </w:t>
      </w:r>
      <w:r w:rsidRPr="006F17E3">
        <w:rPr>
          <w:rFonts w:cs="Times New Roman"/>
        </w:rPr>
        <w:t xml:space="preserve">Justice Alito delivered the opinion of the Court, in which Roberts, C. J., and Kennedy, Thomas, Kagan, and Gorsuch, JJ., joined. Justice Breyer joined as to all but Part VI–B. Justice Ginsburg dissented, joined by </w:t>
      </w:r>
      <w:r w:rsidRPr="006F17E3">
        <w:rPr>
          <w:rFonts w:cs="Times New Roman"/>
        </w:rPr>
        <w:lastRenderedPageBreak/>
        <w:t>Justice Sotomayor (in whole) and Justice Breyer (in part).</w:t>
      </w:r>
      <w:r>
        <w:rPr>
          <w:rFonts w:cs="Times New Roman"/>
        </w:rPr>
        <w:t xml:space="preserve"> The Court held that, consistent with the holdings of </w:t>
      </w:r>
      <w:r w:rsidRPr="006F17E3">
        <w:rPr>
          <w:rFonts w:cs="Times New Roman"/>
          <w:i/>
        </w:rPr>
        <w:t>New York v. United States</w:t>
      </w:r>
      <w:r w:rsidRPr="001858AA">
        <w:rPr>
          <w:rFonts w:cs="Times New Roman"/>
          <w:i/>
          <w:iCs/>
          <w:szCs w:val="24"/>
        </w:rPr>
        <w:t xml:space="preserve"> </w:t>
      </w:r>
      <w:r w:rsidRPr="001858AA">
        <w:rPr>
          <w:rFonts w:cs="Times New Roman"/>
          <w:szCs w:val="24"/>
        </w:rPr>
        <w:t>(1992)</w:t>
      </w:r>
      <w:r>
        <w:rPr>
          <w:rFonts w:cs="Times New Roman"/>
        </w:rPr>
        <w:t xml:space="preserve"> and </w:t>
      </w:r>
      <w:r w:rsidRPr="006F17E3">
        <w:rPr>
          <w:rFonts w:cs="Times New Roman"/>
          <w:i/>
        </w:rPr>
        <w:t>Printz v. United States</w:t>
      </w:r>
      <w:r>
        <w:rPr>
          <w:rFonts w:cs="Times New Roman"/>
          <w:i/>
        </w:rPr>
        <w:t xml:space="preserve"> </w:t>
      </w:r>
      <w:r w:rsidRPr="001529A4">
        <w:rPr>
          <w:rFonts w:cs="Times New Roman"/>
        </w:rPr>
        <w:t>(1997)</w:t>
      </w:r>
      <w:r>
        <w:rPr>
          <w:rFonts w:cs="Times New Roman"/>
        </w:rPr>
        <w:t xml:space="preserve">, PASPA in fact “commandeered” state legislatures. [It must be noted that this opinion in no way limits Congress’s power to make sports betting illegal in all fifty states pursuant to its powers under the Commerce Clause—recall </w:t>
      </w:r>
      <w:r w:rsidRPr="001529A4">
        <w:rPr>
          <w:rFonts w:cs="Times New Roman"/>
          <w:i/>
        </w:rPr>
        <w:t>Champion v. Ames</w:t>
      </w:r>
      <w:r>
        <w:rPr>
          <w:rFonts w:cs="Times New Roman"/>
        </w:rPr>
        <w:t xml:space="preserve"> </w:t>
      </w:r>
      <w:r w:rsidRPr="001529A4">
        <w:rPr>
          <w:rFonts w:cs="Times New Roman"/>
        </w:rPr>
        <w:t>(</w:t>
      </w:r>
      <w:r>
        <w:rPr>
          <w:rFonts w:cs="Times New Roman"/>
        </w:rPr>
        <w:t>1903). Obviously, the political influence of Las Vegas makes such an action problematic.] The Court’s treatment of the anticommandeering issue follows.</w:t>
      </w:r>
    </w:p>
    <w:p w14:paraId="4C24F7B6" w14:textId="77777777" w:rsidR="00C3741F" w:rsidRPr="001858AA" w:rsidRDefault="00C3741F" w:rsidP="00C3741F">
      <w:pPr>
        <w:autoSpaceDE w:val="0"/>
        <w:autoSpaceDN w:val="0"/>
        <w:adjustRightInd w:val="0"/>
        <w:ind w:firstLine="720"/>
        <w:rPr>
          <w:rFonts w:cs="Times New Roman"/>
          <w:szCs w:val="24"/>
        </w:rPr>
      </w:pPr>
      <w:r>
        <w:rPr>
          <w:rFonts w:cs="Times New Roman"/>
          <w:szCs w:val="24"/>
        </w:rPr>
        <w:t>[</w:t>
      </w:r>
      <w:r w:rsidRPr="0092516C">
        <w:rPr>
          <w:rFonts w:cs="Times New Roman"/>
          <w:b/>
          <w:szCs w:val="24"/>
        </w:rPr>
        <w:t>Justice Alito</w:t>
      </w:r>
      <w:r>
        <w:rPr>
          <w:rFonts w:cs="Times New Roman"/>
          <w:szCs w:val="24"/>
        </w:rPr>
        <w:t xml:space="preserve">.] </w:t>
      </w:r>
      <w:r w:rsidRPr="001858AA">
        <w:rPr>
          <w:rFonts w:cs="Times New Roman"/>
          <w:szCs w:val="24"/>
        </w:rPr>
        <w:t>III-A. The anticommandeering doctrine may sound arcane, but it is simply the expression of a fundamental structural decision incorporated into the Constitution,</w:t>
      </w:r>
      <w:r w:rsidRPr="001858AA">
        <w:rPr>
          <w:rFonts w:cs="Times New Roman"/>
          <w:color w:val="212121"/>
          <w:szCs w:val="24"/>
        </w:rPr>
        <w:t xml:space="preserve"> </w:t>
      </w:r>
      <w:r w:rsidRPr="001858AA">
        <w:rPr>
          <w:rFonts w:cs="Times New Roman"/>
          <w:i/>
          <w:iCs/>
          <w:color w:val="212121"/>
          <w:szCs w:val="24"/>
        </w:rPr>
        <w:t>i.e.,</w:t>
      </w:r>
      <w:r w:rsidRPr="001858AA">
        <w:rPr>
          <w:rFonts w:cs="Times New Roman"/>
          <w:color w:val="212121"/>
          <w:szCs w:val="24"/>
        </w:rPr>
        <w:t xml:space="preserve"> the decision to withhold from Congress the power to issue orders directly to the States. When the original States declared their independence, they claimed the powers inherent in sovereignty—in the words of </w:t>
      </w:r>
      <w:r>
        <w:rPr>
          <w:rFonts w:cs="Times New Roman"/>
          <w:color w:val="212121"/>
          <w:szCs w:val="24"/>
        </w:rPr>
        <w:t>t</w:t>
      </w:r>
      <w:r w:rsidRPr="001858AA">
        <w:rPr>
          <w:rFonts w:cs="Times New Roman"/>
          <w:color w:val="212121"/>
          <w:szCs w:val="24"/>
        </w:rPr>
        <w:t>he Declaration of Independence, the authority “to do all...Acts and Things which Independent States may of right do.” ¶32. The Constitution limited but did not abolish the sovereign powers of the States, which retained “a residuary and inviolable sovereignty.” The Federalist No. 39. Thus, both the Federal Government and the States wield sovereign powers, and that is why our system of government is said to be one of “dual sovereignty.”</w:t>
      </w:r>
      <w:r w:rsidRPr="001858AA">
        <w:rPr>
          <w:rFonts w:cs="Times New Roman"/>
          <w:szCs w:val="24"/>
        </w:rPr>
        <w:t xml:space="preserve"> </w:t>
      </w:r>
      <w:r w:rsidRPr="001858AA">
        <w:rPr>
          <w:rFonts w:cs="Times New Roman"/>
          <w:i/>
          <w:iCs/>
          <w:szCs w:val="24"/>
        </w:rPr>
        <w:t>Gregory v. Ashcroft</w:t>
      </w:r>
      <w:r w:rsidRPr="001858AA">
        <w:rPr>
          <w:rFonts w:cs="Times New Roman"/>
          <w:szCs w:val="24"/>
        </w:rPr>
        <w:t xml:space="preserve"> (1991).</w:t>
      </w:r>
    </w:p>
    <w:p w14:paraId="413FDEA1" w14:textId="77777777" w:rsidR="00C3741F" w:rsidRPr="001858AA" w:rsidRDefault="00C3741F" w:rsidP="00C3741F">
      <w:pPr>
        <w:autoSpaceDE w:val="0"/>
        <w:autoSpaceDN w:val="0"/>
        <w:adjustRightInd w:val="0"/>
        <w:ind w:firstLine="720"/>
        <w:rPr>
          <w:rFonts w:cs="Times New Roman"/>
          <w:szCs w:val="24"/>
        </w:rPr>
      </w:pPr>
      <w:r w:rsidRPr="001858AA">
        <w:rPr>
          <w:rFonts w:cs="Times New Roman"/>
          <w:szCs w:val="24"/>
        </w:rPr>
        <w:t xml:space="preserve">The Constitution limits state sovereignty in several ways. It directly prohibits the States from exercising some attributes of sovereignty. See, </w:t>
      </w:r>
      <w:r w:rsidRPr="001858AA">
        <w:rPr>
          <w:rFonts w:cs="Times New Roman"/>
          <w:i/>
          <w:iCs/>
          <w:szCs w:val="24"/>
        </w:rPr>
        <w:t>e.g.,</w:t>
      </w:r>
      <w:r w:rsidRPr="001858AA">
        <w:rPr>
          <w:rFonts w:cs="Times New Roman"/>
          <w:szCs w:val="24"/>
        </w:rPr>
        <w:t xml:space="preserve"> Art. I, § 10. Some grants of power to the Federal Government have been held to impose implicit restrictions on the States. See, </w:t>
      </w:r>
      <w:r w:rsidRPr="001858AA">
        <w:rPr>
          <w:rFonts w:cs="Times New Roman"/>
          <w:i/>
          <w:iCs/>
          <w:szCs w:val="24"/>
        </w:rPr>
        <w:t xml:space="preserve">e.g., Department of Revenue of Ky. v. Davis, </w:t>
      </w:r>
      <w:r w:rsidRPr="001858AA">
        <w:rPr>
          <w:rFonts w:cs="Times New Roman"/>
          <w:szCs w:val="24"/>
        </w:rPr>
        <w:t xml:space="preserve">(2008); </w:t>
      </w:r>
      <w:r w:rsidRPr="001858AA">
        <w:rPr>
          <w:rFonts w:cs="Times New Roman"/>
          <w:i/>
          <w:iCs/>
          <w:szCs w:val="24"/>
        </w:rPr>
        <w:t xml:space="preserve">American Ins. Assn. v. Garamendi </w:t>
      </w:r>
      <w:r w:rsidRPr="001858AA">
        <w:rPr>
          <w:rFonts w:cs="Times New Roman"/>
          <w:szCs w:val="24"/>
        </w:rPr>
        <w:t>(2003). And the Constitution indirectly restricts the States by granting certain legislative powers to Congress, see Art. I, § 8, while providing in the Supremacy Clause that federal law is the “supreme Law of the Land...any Thing in the Constitution or Laws of any State to the Contrary notwithstanding,” Art. VI, cl. 2. This means that when federal and state law conflict, federal law prevails and state law is preempted.</w:t>
      </w:r>
    </w:p>
    <w:p w14:paraId="4A4C9457" w14:textId="77777777" w:rsidR="00C3741F" w:rsidRPr="001858AA" w:rsidRDefault="00C3741F" w:rsidP="00C3741F">
      <w:pPr>
        <w:autoSpaceDE w:val="0"/>
        <w:autoSpaceDN w:val="0"/>
        <w:adjustRightInd w:val="0"/>
        <w:ind w:firstLine="720"/>
        <w:rPr>
          <w:rFonts w:cs="Times New Roman"/>
          <w:szCs w:val="24"/>
        </w:rPr>
      </w:pPr>
      <w:r w:rsidRPr="001858AA">
        <w:rPr>
          <w:rFonts w:cs="Times New Roman"/>
          <w:szCs w:val="24"/>
        </w:rPr>
        <w:t>The legislative powers granted to Congress are sizable, but they are not unlimited. The Constitution confers on Congress not plenary legislative power but only certain enumerated powers. Therefore, all other legislative power is reserved for the States, as the Tenth Amendment confirms. And conspicuously absent from the list of powers given to Congress is the power to issue direct orders to the governments of the States. The anticommandeering doctrine simply represents the recognition of this limit on congressional authority.</w:t>
      </w:r>
    </w:p>
    <w:p w14:paraId="76E39CE0" w14:textId="77777777" w:rsidR="00C3741F" w:rsidRPr="001858AA" w:rsidRDefault="00C3741F" w:rsidP="00C3741F">
      <w:pPr>
        <w:autoSpaceDE w:val="0"/>
        <w:autoSpaceDN w:val="0"/>
        <w:adjustRightInd w:val="0"/>
        <w:ind w:firstLine="720"/>
        <w:rPr>
          <w:rFonts w:cs="Times New Roman"/>
          <w:szCs w:val="24"/>
        </w:rPr>
      </w:pPr>
      <w:r w:rsidRPr="001858AA">
        <w:rPr>
          <w:rFonts w:cs="Times New Roman"/>
          <w:szCs w:val="24"/>
        </w:rPr>
        <w:t xml:space="preserve">Although the anticommandeering principle is simple and basic, it did not emerge in our cases until relatively recently, when Congress attempted in a few isolated instances to extend its authority in unprecedented ways. The pioneering case was </w:t>
      </w:r>
      <w:r w:rsidRPr="001858AA">
        <w:rPr>
          <w:rFonts w:cs="Times New Roman"/>
          <w:i/>
          <w:iCs/>
          <w:szCs w:val="24"/>
        </w:rPr>
        <w:t xml:space="preserve">New York v. United States </w:t>
      </w:r>
      <w:r w:rsidRPr="001858AA">
        <w:rPr>
          <w:rFonts w:cs="Times New Roman"/>
          <w:szCs w:val="24"/>
        </w:rPr>
        <w:t>(1992), which concerned a federal law that required a State, under certain circumstances, either to “take title” to low-level radioactive waste or to “</w:t>
      </w:r>
      <w:proofErr w:type="spellStart"/>
      <w:r w:rsidRPr="001858AA">
        <w:rPr>
          <w:rFonts w:cs="Times New Roman"/>
          <w:szCs w:val="24"/>
        </w:rPr>
        <w:t>regulat</w:t>
      </w:r>
      <w:proofErr w:type="spellEnd"/>
      <w:r w:rsidRPr="001858AA">
        <w:rPr>
          <w:rFonts w:cs="Times New Roman"/>
          <w:szCs w:val="24"/>
        </w:rPr>
        <w:t xml:space="preserve">[e] according to the instructions of Congress.” </w:t>
      </w:r>
      <w:r w:rsidRPr="001858AA">
        <w:rPr>
          <w:rFonts w:cs="Times New Roman"/>
          <w:i/>
          <w:iCs/>
          <w:szCs w:val="24"/>
        </w:rPr>
        <w:t>Id</w:t>
      </w:r>
      <w:r w:rsidRPr="001858AA">
        <w:rPr>
          <w:rFonts w:cs="Times New Roman"/>
          <w:szCs w:val="24"/>
        </w:rPr>
        <w:t xml:space="preserve">. In enacting this provision, Congress issued orders to either the legislative or executive branch </w:t>
      </w:r>
      <w:r w:rsidRPr="001858AA">
        <w:rPr>
          <w:rFonts w:cs="Times New Roman"/>
          <w:szCs w:val="24"/>
        </w:rPr>
        <w:lastRenderedPageBreak/>
        <w:t xml:space="preserve">of state government (depending on the branch authorized by state law to take the actions demanded). Either way, the Court held, the provision was unconstitutional because “the Constitution does not empower Congress to subject state governments to this type of instruction.” </w:t>
      </w:r>
      <w:r w:rsidRPr="001858AA">
        <w:rPr>
          <w:rFonts w:cs="Times New Roman"/>
          <w:i/>
          <w:szCs w:val="24"/>
        </w:rPr>
        <w:t>Id.</w:t>
      </w:r>
    </w:p>
    <w:p w14:paraId="15064453" w14:textId="77777777" w:rsidR="00C3741F" w:rsidRPr="001858AA" w:rsidRDefault="00C3741F" w:rsidP="00C3741F">
      <w:pPr>
        <w:autoSpaceDE w:val="0"/>
        <w:autoSpaceDN w:val="0"/>
        <w:adjustRightInd w:val="0"/>
        <w:ind w:firstLine="720"/>
        <w:rPr>
          <w:rFonts w:cs="Times New Roman"/>
          <w:szCs w:val="24"/>
        </w:rPr>
      </w:pPr>
      <w:r w:rsidRPr="001858AA">
        <w:rPr>
          <w:rFonts w:cs="Times New Roman"/>
          <w:szCs w:val="24"/>
        </w:rPr>
        <w:t xml:space="preserve">Justice O'Connor's opinion for the Court traced this rule to the basic structure of government established under the Constitution. The Constitution, she noted, “confers upon Congress the power to regulate individuals, not States.” </w:t>
      </w:r>
      <w:r w:rsidRPr="001858AA">
        <w:rPr>
          <w:rFonts w:cs="Times New Roman"/>
          <w:i/>
          <w:iCs/>
          <w:szCs w:val="24"/>
        </w:rPr>
        <w:t>Id</w:t>
      </w:r>
      <w:r w:rsidRPr="001858AA">
        <w:rPr>
          <w:rFonts w:cs="Times New Roman"/>
          <w:szCs w:val="24"/>
        </w:rPr>
        <w:t xml:space="preserve">. In this respect, the Constitution represented a sharp break from the Articles of Confederation. “Under the Articles of Confederation, Congress lacked the authority in most respects to govern the people directly.” </w:t>
      </w:r>
      <w:r w:rsidRPr="001858AA">
        <w:rPr>
          <w:rFonts w:cs="Times New Roman"/>
          <w:i/>
          <w:iCs/>
          <w:szCs w:val="24"/>
        </w:rPr>
        <w:t>Id</w:t>
      </w:r>
      <w:r w:rsidRPr="001858AA">
        <w:rPr>
          <w:rFonts w:cs="Times New Roman"/>
          <w:szCs w:val="24"/>
        </w:rPr>
        <w:t xml:space="preserve">. Instead, Congress was limited to acting </w:t>
      </w:r>
      <w:proofErr w:type="gramStart"/>
      <w:r w:rsidRPr="001858AA">
        <w:rPr>
          <w:rFonts w:cs="Times New Roman"/>
          <w:szCs w:val="24"/>
        </w:rPr>
        <w:t>“ ‘</w:t>
      </w:r>
      <w:proofErr w:type="gramEnd"/>
      <w:r w:rsidRPr="001858AA">
        <w:rPr>
          <w:rFonts w:cs="Times New Roman"/>
          <w:szCs w:val="24"/>
        </w:rPr>
        <w:t xml:space="preserve">only upon the States.’ ” </w:t>
      </w:r>
      <w:r w:rsidRPr="001858AA">
        <w:rPr>
          <w:rFonts w:cs="Times New Roman"/>
          <w:i/>
          <w:iCs/>
          <w:szCs w:val="24"/>
        </w:rPr>
        <w:t>Id</w:t>
      </w:r>
      <w:r w:rsidRPr="001858AA">
        <w:rPr>
          <w:rFonts w:cs="Times New Roman"/>
          <w:szCs w:val="24"/>
        </w:rPr>
        <w:t xml:space="preserve">. Alexander Hamilton, among others, saw this as </w:t>
      </w:r>
      <w:proofErr w:type="gramStart"/>
      <w:r w:rsidRPr="001858AA">
        <w:rPr>
          <w:rFonts w:cs="Times New Roman"/>
          <w:szCs w:val="24"/>
        </w:rPr>
        <w:t>“ ‘</w:t>
      </w:r>
      <w:proofErr w:type="gramEnd"/>
      <w:r w:rsidRPr="001858AA">
        <w:rPr>
          <w:rFonts w:cs="Times New Roman"/>
          <w:szCs w:val="24"/>
        </w:rPr>
        <w:t>[t]he great and radical vice in...the existing Confederation.’ ” The Constitutional Convention considered plans that would have preserved this basic structure, but it rejected them in favor of a plan under which “Congress would exercise its legislative authority directly over individuals rather than over States.”</w:t>
      </w:r>
      <w:r>
        <w:rPr>
          <w:rFonts w:cs="Times New Roman"/>
          <w:szCs w:val="24"/>
        </w:rPr>
        <w:t xml:space="preserve"> </w:t>
      </w:r>
      <w:r w:rsidRPr="001858AA">
        <w:rPr>
          <w:rFonts w:cs="Times New Roman"/>
          <w:i/>
          <w:iCs/>
          <w:szCs w:val="24"/>
        </w:rPr>
        <w:t>Id</w:t>
      </w:r>
      <w:r w:rsidRPr="001858AA">
        <w:rPr>
          <w:rFonts w:cs="Times New Roman"/>
          <w:szCs w:val="24"/>
        </w:rPr>
        <w:t>.</w:t>
      </w:r>
    </w:p>
    <w:p w14:paraId="2C77DCE0" w14:textId="77777777" w:rsidR="00C3741F" w:rsidRPr="001858AA" w:rsidRDefault="00C3741F" w:rsidP="00C3741F">
      <w:pPr>
        <w:autoSpaceDE w:val="0"/>
        <w:autoSpaceDN w:val="0"/>
        <w:adjustRightInd w:val="0"/>
        <w:ind w:firstLine="720"/>
        <w:rPr>
          <w:rFonts w:cs="Times New Roman"/>
          <w:color w:val="212121"/>
          <w:szCs w:val="24"/>
        </w:rPr>
      </w:pPr>
      <w:r w:rsidRPr="001858AA">
        <w:rPr>
          <w:rFonts w:cs="Times New Roman"/>
          <w:szCs w:val="24"/>
        </w:rPr>
        <w:t>As to what this structure means with regard to Congress's authority to control state legislatures,</w:t>
      </w:r>
      <w:r w:rsidRPr="001858AA">
        <w:rPr>
          <w:rFonts w:cs="Times New Roman"/>
          <w:color w:val="212121"/>
          <w:szCs w:val="24"/>
        </w:rPr>
        <w:t xml:space="preserve"> </w:t>
      </w:r>
      <w:r w:rsidRPr="001858AA">
        <w:rPr>
          <w:rFonts w:cs="Times New Roman"/>
          <w:i/>
          <w:iCs/>
          <w:color w:val="212121"/>
          <w:szCs w:val="24"/>
        </w:rPr>
        <w:t>New York</w:t>
      </w:r>
      <w:r w:rsidRPr="001858AA">
        <w:rPr>
          <w:rFonts w:cs="Times New Roman"/>
          <w:color w:val="212121"/>
          <w:szCs w:val="24"/>
        </w:rPr>
        <w:t xml:space="preserve"> was clear and emphatic. The opinion recalled that “no Member of the Court ha[d] ever suggested” that even “a particularly strong federal interest” “would enable Congress to command a state government to enact</w:t>
      </w:r>
      <w:r>
        <w:rPr>
          <w:rFonts w:cs="Times New Roman"/>
          <w:color w:val="212121"/>
          <w:szCs w:val="24"/>
        </w:rPr>
        <w:t xml:space="preserve"> </w:t>
      </w:r>
      <w:r w:rsidRPr="001858AA">
        <w:rPr>
          <w:rFonts w:cs="Times New Roman"/>
          <w:i/>
          <w:iCs/>
          <w:color w:val="212121"/>
          <w:szCs w:val="24"/>
        </w:rPr>
        <w:t>state</w:t>
      </w:r>
      <w:r>
        <w:rPr>
          <w:rFonts w:cs="Times New Roman"/>
          <w:szCs w:val="24"/>
        </w:rPr>
        <w:t xml:space="preserve"> </w:t>
      </w:r>
      <w:r w:rsidRPr="001858AA">
        <w:rPr>
          <w:rFonts w:cs="Times New Roman"/>
          <w:color w:val="212121"/>
          <w:szCs w:val="24"/>
        </w:rPr>
        <w:t>regulation.”</w:t>
      </w:r>
      <w:r w:rsidRPr="001858AA">
        <w:rPr>
          <w:rFonts w:cs="Times New Roman"/>
          <w:i/>
          <w:iCs/>
          <w:color w:val="212121"/>
          <w:szCs w:val="24"/>
        </w:rPr>
        <w:t xml:space="preserve"> Id.</w:t>
      </w:r>
      <w:r w:rsidRPr="001858AA">
        <w:rPr>
          <w:rFonts w:cs="Times New Roman"/>
          <w:color w:val="212121"/>
          <w:szCs w:val="24"/>
        </w:rPr>
        <w:t xml:space="preserve"> “We have always understood that even where Congress has the authority under the Constitution to pass laws requiring or prohibiting certain acts, it lacks the power directly to compel the States to require or prohibit those acts.”</w:t>
      </w:r>
      <w:r w:rsidRPr="001858AA">
        <w:rPr>
          <w:rFonts w:cs="Times New Roman"/>
          <w:i/>
          <w:iCs/>
          <w:color w:val="212121"/>
          <w:szCs w:val="24"/>
        </w:rPr>
        <w:t xml:space="preserve"> Id.</w:t>
      </w:r>
      <w:r w:rsidRPr="001858AA">
        <w:rPr>
          <w:rFonts w:cs="Times New Roman"/>
          <w:color w:val="212121"/>
          <w:szCs w:val="24"/>
        </w:rPr>
        <w:t xml:space="preserve"> “Congress may not simply ‘</w:t>
      </w:r>
      <w:proofErr w:type="spellStart"/>
      <w:r w:rsidRPr="001858AA">
        <w:rPr>
          <w:rFonts w:cs="Times New Roman"/>
          <w:color w:val="212121"/>
          <w:szCs w:val="24"/>
        </w:rPr>
        <w:t>commandee</w:t>
      </w:r>
      <w:proofErr w:type="spellEnd"/>
      <w:r w:rsidRPr="001858AA">
        <w:rPr>
          <w:rFonts w:cs="Times New Roman"/>
          <w:color w:val="212121"/>
          <w:szCs w:val="24"/>
        </w:rPr>
        <w:t>[r] the legislative processes of the States by directly compelling them to enact and enforce a federal regulatory program.’ ”</w:t>
      </w:r>
      <w:r w:rsidRPr="001858AA">
        <w:rPr>
          <w:rFonts w:cs="Times New Roman"/>
          <w:i/>
          <w:iCs/>
          <w:color w:val="212121"/>
          <w:szCs w:val="24"/>
        </w:rPr>
        <w:t xml:space="preserve"> Id.</w:t>
      </w:r>
      <w:r w:rsidRPr="001858AA">
        <w:rPr>
          <w:rFonts w:cs="Times New Roman"/>
          <w:color w:val="212121"/>
          <w:szCs w:val="24"/>
        </w:rPr>
        <w:t xml:space="preserve"> “Where a federal interest is sufficiently strong to cause Congress to legislate, it must do so directly; it may not conscript state governments as its agents.”</w:t>
      </w:r>
      <w:r>
        <w:rPr>
          <w:rFonts w:cs="Times New Roman"/>
          <w:color w:val="212121"/>
          <w:szCs w:val="24"/>
        </w:rPr>
        <w:t xml:space="preserve"> </w:t>
      </w:r>
      <w:r w:rsidRPr="001858AA">
        <w:rPr>
          <w:rFonts w:cs="Times New Roman"/>
          <w:i/>
          <w:iCs/>
          <w:szCs w:val="24"/>
        </w:rPr>
        <w:t>Id</w:t>
      </w:r>
      <w:r w:rsidRPr="001858AA">
        <w:rPr>
          <w:rFonts w:cs="Times New Roman"/>
          <w:szCs w:val="24"/>
        </w:rPr>
        <w:t>.</w:t>
      </w:r>
    </w:p>
    <w:p w14:paraId="0D61441C" w14:textId="77777777" w:rsidR="00C3741F" w:rsidRPr="001858AA" w:rsidRDefault="00C3741F" w:rsidP="00C3741F">
      <w:pPr>
        <w:autoSpaceDE w:val="0"/>
        <w:autoSpaceDN w:val="0"/>
        <w:adjustRightInd w:val="0"/>
        <w:ind w:firstLine="720"/>
        <w:rPr>
          <w:rFonts w:cs="Times New Roman"/>
          <w:color w:val="212121"/>
          <w:szCs w:val="24"/>
        </w:rPr>
      </w:pPr>
      <w:r w:rsidRPr="001858AA">
        <w:rPr>
          <w:rFonts w:cs="Times New Roman"/>
          <w:color w:val="212121"/>
          <w:szCs w:val="24"/>
        </w:rPr>
        <w:t xml:space="preserve">Five years after </w:t>
      </w:r>
      <w:r w:rsidRPr="001858AA">
        <w:rPr>
          <w:rFonts w:cs="Times New Roman"/>
          <w:i/>
          <w:iCs/>
          <w:color w:val="212121"/>
          <w:szCs w:val="24"/>
        </w:rPr>
        <w:t>New York,</w:t>
      </w:r>
      <w:r w:rsidRPr="001858AA">
        <w:rPr>
          <w:rFonts w:cs="Times New Roman"/>
          <w:color w:val="212121"/>
          <w:szCs w:val="24"/>
        </w:rPr>
        <w:t xml:space="preserve"> the Court applied the same principles to a federal statute requiring state and local law enforcement officers to perform background checks and related tasks in connection with applications for handgun licenses. </w:t>
      </w:r>
      <w:r w:rsidRPr="001858AA">
        <w:rPr>
          <w:rFonts w:cs="Times New Roman"/>
          <w:i/>
          <w:iCs/>
          <w:color w:val="212121"/>
          <w:szCs w:val="24"/>
        </w:rPr>
        <w:t>Printz</w:t>
      </w:r>
      <w:r>
        <w:rPr>
          <w:rFonts w:cs="Times New Roman"/>
          <w:i/>
          <w:iCs/>
          <w:color w:val="212121"/>
          <w:szCs w:val="24"/>
        </w:rPr>
        <w:t xml:space="preserve"> v. United States </w:t>
      </w:r>
      <w:r>
        <w:rPr>
          <w:rFonts w:cs="Times New Roman"/>
          <w:iCs/>
          <w:color w:val="212121"/>
          <w:szCs w:val="24"/>
        </w:rPr>
        <w:t>(1997)</w:t>
      </w:r>
      <w:r w:rsidRPr="001858AA">
        <w:rPr>
          <w:rFonts w:cs="Times New Roman"/>
          <w:i/>
          <w:iCs/>
          <w:color w:val="212121"/>
          <w:szCs w:val="24"/>
        </w:rPr>
        <w:t>.</w:t>
      </w:r>
      <w:r w:rsidRPr="001858AA">
        <w:rPr>
          <w:rFonts w:cs="Times New Roman"/>
          <w:color w:val="212121"/>
          <w:szCs w:val="24"/>
        </w:rPr>
        <w:t xml:space="preserve"> Holding this provision unconstitutional, the Court put the point succinctly: “The Federal Government” may not “command the States' officers, or those of their political subdivisions, to administer or enforce a federal regulatory program.”</w:t>
      </w:r>
      <w:r w:rsidRPr="001858AA">
        <w:rPr>
          <w:rFonts w:cs="Times New Roman"/>
          <w:i/>
          <w:iCs/>
          <w:color w:val="212121"/>
          <w:szCs w:val="24"/>
        </w:rPr>
        <w:t xml:space="preserve"> Id. </w:t>
      </w:r>
      <w:r w:rsidRPr="001858AA">
        <w:rPr>
          <w:rFonts w:cs="Times New Roman"/>
          <w:color w:val="212121"/>
          <w:szCs w:val="24"/>
        </w:rPr>
        <w:t xml:space="preserve">This rule applies, </w:t>
      </w:r>
      <w:r w:rsidRPr="001858AA">
        <w:rPr>
          <w:rFonts w:cs="Times New Roman"/>
          <w:i/>
          <w:iCs/>
          <w:color w:val="212121"/>
          <w:szCs w:val="24"/>
        </w:rPr>
        <w:t>Printz</w:t>
      </w:r>
      <w:r w:rsidRPr="001858AA">
        <w:rPr>
          <w:rFonts w:cs="Times New Roman"/>
          <w:color w:val="212121"/>
          <w:szCs w:val="24"/>
        </w:rPr>
        <w:t xml:space="preserve"> held, not only to state officers with policymaking responsibility but also to those assigned more mundane tasks.</w:t>
      </w:r>
      <w:r w:rsidRPr="001858AA">
        <w:rPr>
          <w:rFonts w:cs="Times New Roman"/>
          <w:i/>
          <w:iCs/>
          <w:color w:val="212121"/>
          <w:szCs w:val="24"/>
        </w:rPr>
        <w:t xml:space="preserve"> Id.</w:t>
      </w:r>
    </w:p>
    <w:p w14:paraId="677EABA1" w14:textId="77777777" w:rsidR="00C3741F" w:rsidRPr="001858AA" w:rsidRDefault="00C3741F" w:rsidP="00C3741F">
      <w:pPr>
        <w:autoSpaceDE w:val="0"/>
        <w:autoSpaceDN w:val="0"/>
        <w:adjustRightInd w:val="0"/>
        <w:ind w:firstLine="720"/>
        <w:rPr>
          <w:rFonts w:cs="Times New Roman"/>
          <w:color w:val="212121"/>
          <w:szCs w:val="24"/>
        </w:rPr>
      </w:pPr>
      <w:r w:rsidRPr="001858AA">
        <w:rPr>
          <w:rFonts w:cs="Times New Roman"/>
          <w:color w:val="212121"/>
          <w:szCs w:val="24"/>
        </w:rPr>
        <w:t xml:space="preserve">III-B. Our opinions in </w:t>
      </w:r>
      <w:r w:rsidRPr="001858AA">
        <w:rPr>
          <w:rFonts w:cs="Times New Roman"/>
          <w:i/>
          <w:iCs/>
          <w:color w:val="212121"/>
          <w:szCs w:val="24"/>
        </w:rPr>
        <w:t>New York</w:t>
      </w:r>
      <w:r w:rsidRPr="001858AA">
        <w:rPr>
          <w:rFonts w:cs="Times New Roman"/>
          <w:color w:val="212121"/>
          <w:szCs w:val="24"/>
        </w:rPr>
        <w:t xml:space="preserve"> and </w:t>
      </w:r>
      <w:r w:rsidRPr="001858AA">
        <w:rPr>
          <w:rFonts w:cs="Times New Roman"/>
          <w:i/>
          <w:iCs/>
          <w:color w:val="212121"/>
          <w:szCs w:val="24"/>
        </w:rPr>
        <w:t>Printz</w:t>
      </w:r>
      <w:r w:rsidRPr="001858AA">
        <w:rPr>
          <w:rFonts w:cs="Times New Roman"/>
          <w:color w:val="212121"/>
          <w:szCs w:val="24"/>
        </w:rPr>
        <w:t xml:space="preserve"> explained why adherence to the anticommandeering principle is important. Without attempting a complete survey, we mention several reasons that are significant here.</w:t>
      </w:r>
    </w:p>
    <w:p w14:paraId="018B27F1" w14:textId="77777777" w:rsidR="00C3741F" w:rsidRPr="001858AA" w:rsidRDefault="00C3741F" w:rsidP="00C3741F">
      <w:pPr>
        <w:autoSpaceDE w:val="0"/>
        <w:autoSpaceDN w:val="0"/>
        <w:adjustRightInd w:val="0"/>
        <w:ind w:firstLine="720"/>
        <w:rPr>
          <w:rFonts w:cs="Times New Roman"/>
          <w:color w:val="212121"/>
          <w:szCs w:val="24"/>
        </w:rPr>
      </w:pPr>
      <w:r w:rsidRPr="001858AA">
        <w:rPr>
          <w:rFonts w:cs="Times New Roman"/>
          <w:color w:val="212121"/>
          <w:szCs w:val="24"/>
        </w:rPr>
        <w:t xml:space="preserve">First, the rule serves as “one of the Constitution's structural protections of liberty.” </w:t>
      </w:r>
      <w:r w:rsidRPr="001858AA">
        <w:rPr>
          <w:rFonts w:cs="Times New Roman"/>
          <w:i/>
          <w:iCs/>
          <w:color w:val="212121"/>
          <w:szCs w:val="24"/>
        </w:rPr>
        <w:t>Printz, supra.</w:t>
      </w:r>
      <w:r w:rsidRPr="001858AA">
        <w:rPr>
          <w:rFonts w:cs="Times New Roman"/>
          <w:color w:val="212121"/>
          <w:szCs w:val="24"/>
        </w:rPr>
        <w:t xml:space="preserve"> “The Constitution does not protect the sovereignty of States for the benefit of the States or </w:t>
      </w:r>
      <w:r w:rsidRPr="001858AA">
        <w:rPr>
          <w:rFonts w:cs="Times New Roman"/>
          <w:color w:val="212121"/>
          <w:szCs w:val="24"/>
        </w:rPr>
        <w:lastRenderedPageBreak/>
        <w:t xml:space="preserve">state governments as abstract political entities.” </w:t>
      </w:r>
      <w:r w:rsidRPr="001858AA">
        <w:rPr>
          <w:rFonts w:cs="Times New Roman"/>
          <w:i/>
          <w:iCs/>
          <w:color w:val="212121"/>
          <w:szCs w:val="24"/>
        </w:rPr>
        <w:t>New York, supra.</w:t>
      </w:r>
      <w:r w:rsidRPr="001858AA">
        <w:rPr>
          <w:rFonts w:cs="Times New Roman"/>
          <w:color w:val="212121"/>
          <w:szCs w:val="24"/>
        </w:rPr>
        <w:t xml:space="preserve"> “To the contrary, the Constitution divides authority between federal and state governments for the protection of individuals.” </w:t>
      </w:r>
      <w:r w:rsidRPr="001858AA">
        <w:rPr>
          <w:rFonts w:cs="Times New Roman"/>
          <w:i/>
          <w:iCs/>
          <w:color w:val="212121"/>
          <w:szCs w:val="24"/>
        </w:rPr>
        <w:t xml:space="preserve">Ibid. </w:t>
      </w:r>
      <w:proofErr w:type="gramStart"/>
      <w:r w:rsidRPr="001858AA">
        <w:rPr>
          <w:rFonts w:cs="Times New Roman"/>
          <w:color w:val="212121"/>
          <w:szCs w:val="24"/>
        </w:rPr>
        <w:t>“ ‘</w:t>
      </w:r>
      <w:proofErr w:type="gramEnd"/>
      <w:r w:rsidRPr="001858AA">
        <w:rPr>
          <w:rFonts w:cs="Times New Roman"/>
          <w:color w:val="212121"/>
          <w:szCs w:val="24"/>
        </w:rPr>
        <w:t>[A] healthy balance of power between the States and the Federal Government [reduces] the risk of tyranny and abuse from either front.’ ”</w:t>
      </w:r>
      <w:r w:rsidRPr="001858AA">
        <w:rPr>
          <w:rFonts w:cs="Times New Roman"/>
          <w:i/>
          <w:iCs/>
          <w:color w:val="212121"/>
          <w:szCs w:val="24"/>
        </w:rPr>
        <w:t xml:space="preserve"> Id.</w:t>
      </w:r>
    </w:p>
    <w:p w14:paraId="528803F8" w14:textId="77777777" w:rsidR="00C3741F" w:rsidRPr="001858AA" w:rsidRDefault="00C3741F" w:rsidP="00C3741F">
      <w:pPr>
        <w:autoSpaceDE w:val="0"/>
        <w:autoSpaceDN w:val="0"/>
        <w:adjustRightInd w:val="0"/>
        <w:ind w:firstLine="720"/>
        <w:rPr>
          <w:rFonts w:cs="Times New Roman"/>
          <w:color w:val="212121"/>
          <w:szCs w:val="24"/>
        </w:rPr>
      </w:pPr>
      <w:r w:rsidRPr="001858AA">
        <w:rPr>
          <w:rFonts w:cs="Times New Roman"/>
          <w:color w:val="212121"/>
          <w:szCs w:val="24"/>
        </w:rPr>
        <w:t xml:space="preserve">Second, the anticommandeering rule promotes political accountability. When Congress itself regulates, the responsibility for the benefits and burdens of the regulation is apparent. Voters who like or dislike the effects of the regulation know who to credit or blame. By contrast, if a State imposes regulations only because it has been commanded to do so by Congress, responsibility is blurred. </w:t>
      </w:r>
      <w:r w:rsidRPr="001858AA">
        <w:rPr>
          <w:rFonts w:cs="Times New Roman"/>
          <w:i/>
          <w:color w:val="212121"/>
          <w:szCs w:val="24"/>
        </w:rPr>
        <w:t>See</w:t>
      </w:r>
      <w:r w:rsidRPr="001858AA">
        <w:rPr>
          <w:rFonts w:cs="Times New Roman"/>
          <w:color w:val="212121"/>
          <w:szCs w:val="24"/>
        </w:rPr>
        <w:t xml:space="preserve"> </w:t>
      </w:r>
      <w:r w:rsidRPr="001858AA">
        <w:rPr>
          <w:rFonts w:cs="Times New Roman"/>
          <w:i/>
          <w:iCs/>
          <w:color w:val="212121"/>
          <w:szCs w:val="24"/>
        </w:rPr>
        <w:t>New York, supra; Printz, supra.</w:t>
      </w:r>
    </w:p>
    <w:p w14:paraId="470D1C82" w14:textId="77777777" w:rsidR="00C3741F" w:rsidRPr="001858AA" w:rsidRDefault="00C3741F" w:rsidP="00C3741F">
      <w:pPr>
        <w:autoSpaceDE w:val="0"/>
        <w:autoSpaceDN w:val="0"/>
        <w:adjustRightInd w:val="0"/>
        <w:ind w:firstLine="720"/>
        <w:rPr>
          <w:rFonts w:cs="Times New Roman"/>
          <w:color w:val="212121"/>
          <w:szCs w:val="24"/>
        </w:rPr>
      </w:pPr>
      <w:r w:rsidRPr="001858AA">
        <w:rPr>
          <w:rFonts w:cs="Times New Roman"/>
          <w:color w:val="212121"/>
          <w:szCs w:val="24"/>
        </w:rPr>
        <w:t xml:space="preserve">Third, the anticommandeering principle prevents Congress from shifting the costs of regulation to the States. If Congress enacts a law and requires enforcement by the Executive Branch, it must appropriate the funds needed to administer the program. It is pressured to weigh the expected benefits of the program against its costs. But if Congress can compel the States to enact and enforce its program, Congress need not engage in any such analysis. </w:t>
      </w:r>
    </w:p>
    <w:p w14:paraId="5D0B7D3E" w14:textId="77777777" w:rsidR="00C3741F" w:rsidRPr="001858AA" w:rsidRDefault="00C3741F" w:rsidP="00C3741F">
      <w:pPr>
        <w:autoSpaceDE w:val="0"/>
        <w:autoSpaceDN w:val="0"/>
        <w:adjustRightInd w:val="0"/>
        <w:ind w:firstLine="720"/>
        <w:rPr>
          <w:rFonts w:cs="Times New Roman"/>
          <w:color w:val="212121"/>
          <w:szCs w:val="24"/>
        </w:rPr>
      </w:pPr>
      <w:r w:rsidRPr="001858AA">
        <w:rPr>
          <w:rFonts w:cs="Times New Roman"/>
          <w:smallCaps/>
          <w:color w:val="212121"/>
          <w:szCs w:val="24"/>
        </w:rPr>
        <w:t xml:space="preserve">IV-A. </w:t>
      </w:r>
      <w:r w:rsidRPr="001858AA">
        <w:rPr>
          <w:rFonts w:cs="Times New Roman"/>
          <w:color w:val="212121"/>
          <w:szCs w:val="24"/>
        </w:rPr>
        <w:t xml:space="preserve">The </w:t>
      </w:r>
      <w:r w:rsidRPr="001858AA">
        <w:rPr>
          <w:rFonts w:cs="Times New Roman"/>
          <w:color w:val="252525"/>
          <w:szCs w:val="24"/>
        </w:rPr>
        <w:t>PASPA</w:t>
      </w:r>
      <w:r w:rsidRPr="001858AA">
        <w:rPr>
          <w:rFonts w:cs="Times New Roman"/>
          <w:color w:val="212121"/>
          <w:szCs w:val="24"/>
        </w:rPr>
        <w:t xml:space="preserve"> provision at issue here—prohibiting state authorization of sports gambling—violates the anticommandeering rule. That provision unequivocally dictates what a state legislature may and may not do. And this is true under either our interpretation or that advocated by respondents and the United States. In either event, state legislatures are put under the direct control of Congress. It is as if federal officers were installed in state legislative chambers and were armed with the authority to stop legislators from voting on any offending proposals. A more direct affront to state sovereignty is not easy to imagine.</w:t>
      </w:r>
    </w:p>
    <w:p w14:paraId="1CD0A172" w14:textId="77777777" w:rsidR="00C3741F" w:rsidRPr="001858AA" w:rsidRDefault="00C3741F" w:rsidP="00C3741F">
      <w:pPr>
        <w:autoSpaceDE w:val="0"/>
        <w:autoSpaceDN w:val="0"/>
        <w:adjustRightInd w:val="0"/>
        <w:ind w:firstLine="720"/>
        <w:rPr>
          <w:rFonts w:cs="Times New Roman"/>
          <w:color w:val="212121"/>
          <w:szCs w:val="24"/>
        </w:rPr>
      </w:pPr>
      <w:r w:rsidRPr="001858AA">
        <w:rPr>
          <w:rFonts w:cs="Times New Roman"/>
          <w:color w:val="212121"/>
          <w:szCs w:val="24"/>
        </w:rPr>
        <w:t xml:space="preserve">Neither respondents nor the United States contends that Congress can compel a State to enact legislation, but they say that prohibiting a State from enacting new laws is another matter. Noting that the laws challenged in </w:t>
      </w:r>
      <w:r w:rsidRPr="001858AA">
        <w:rPr>
          <w:rFonts w:cs="Times New Roman"/>
          <w:i/>
          <w:iCs/>
          <w:color w:val="212121"/>
          <w:szCs w:val="24"/>
        </w:rPr>
        <w:t>New York</w:t>
      </w:r>
      <w:r w:rsidRPr="001858AA">
        <w:rPr>
          <w:rFonts w:cs="Times New Roman"/>
          <w:color w:val="212121"/>
          <w:szCs w:val="24"/>
        </w:rPr>
        <w:t xml:space="preserve"> and </w:t>
      </w:r>
      <w:r w:rsidRPr="001858AA">
        <w:rPr>
          <w:rFonts w:cs="Times New Roman"/>
          <w:i/>
          <w:iCs/>
          <w:color w:val="212121"/>
          <w:szCs w:val="24"/>
        </w:rPr>
        <w:t>Printz</w:t>
      </w:r>
      <w:r w:rsidRPr="001858AA">
        <w:rPr>
          <w:rFonts w:cs="Times New Roman"/>
          <w:color w:val="212121"/>
          <w:szCs w:val="24"/>
        </w:rPr>
        <w:t xml:space="preserve"> “told states what they must do instead of what they must not do,” respondents contend that commandeering occurs “only when Congress goes beyond precluding state action and affirmatively commands it.” Brief for Respondents 19.</w:t>
      </w:r>
    </w:p>
    <w:p w14:paraId="0ACE57CD" w14:textId="77777777" w:rsidR="00C3741F" w:rsidRPr="001858AA" w:rsidRDefault="00C3741F" w:rsidP="00C3741F">
      <w:pPr>
        <w:autoSpaceDE w:val="0"/>
        <w:autoSpaceDN w:val="0"/>
        <w:adjustRightInd w:val="0"/>
        <w:ind w:firstLine="720"/>
        <w:rPr>
          <w:rFonts w:cs="Times New Roman"/>
          <w:color w:val="212121"/>
          <w:szCs w:val="24"/>
        </w:rPr>
      </w:pPr>
      <w:r w:rsidRPr="001858AA">
        <w:rPr>
          <w:rFonts w:cs="Times New Roman"/>
          <w:color w:val="212121"/>
          <w:szCs w:val="24"/>
        </w:rPr>
        <w:t xml:space="preserve">This distinction is empty. It was a matter of happenstance that the laws challenged in </w:t>
      </w:r>
      <w:r w:rsidRPr="001858AA">
        <w:rPr>
          <w:rFonts w:cs="Times New Roman"/>
          <w:i/>
          <w:iCs/>
          <w:color w:val="212121"/>
          <w:szCs w:val="24"/>
        </w:rPr>
        <w:t>New York</w:t>
      </w:r>
      <w:r w:rsidRPr="001858AA">
        <w:rPr>
          <w:rFonts w:cs="Times New Roman"/>
          <w:color w:val="212121"/>
          <w:szCs w:val="24"/>
        </w:rPr>
        <w:t xml:space="preserve"> and </w:t>
      </w:r>
      <w:r w:rsidRPr="001858AA">
        <w:rPr>
          <w:rFonts w:cs="Times New Roman"/>
          <w:i/>
          <w:iCs/>
          <w:color w:val="212121"/>
          <w:szCs w:val="24"/>
        </w:rPr>
        <w:t>Printz</w:t>
      </w:r>
      <w:r w:rsidRPr="001858AA">
        <w:rPr>
          <w:rFonts w:cs="Times New Roman"/>
          <w:color w:val="212121"/>
          <w:szCs w:val="24"/>
        </w:rPr>
        <w:t xml:space="preserve"> commanded “affirmative” action as opposed to imposing a prohibition. The basic principle—that Congress cannot issue direct orders to state legislatures—applies in either event.</w:t>
      </w:r>
    </w:p>
    <w:p w14:paraId="290B0E98" w14:textId="77777777" w:rsidR="00C3741F" w:rsidRPr="001858AA" w:rsidRDefault="00C3741F" w:rsidP="00C3741F">
      <w:pPr>
        <w:autoSpaceDE w:val="0"/>
        <w:autoSpaceDN w:val="0"/>
        <w:adjustRightInd w:val="0"/>
        <w:ind w:firstLine="720"/>
        <w:rPr>
          <w:rFonts w:cs="Times New Roman"/>
          <w:szCs w:val="24"/>
        </w:rPr>
      </w:pPr>
      <w:r w:rsidRPr="001858AA">
        <w:rPr>
          <w:rFonts w:cs="Times New Roman"/>
          <w:color w:val="212121"/>
          <w:szCs w:val="24"/>
        </w:rPr>
        <w:t xml:space="preserve">Here is an illustration. </w:t>
      </w:r>
      <w:r w:rsidRPr="001858AA">
        <w:rPr>
          <w:rFonts w:cs="Times New Roman"/>
          <w:color w:val="252525"/>
          <w:szCs w:val="24"/>
        </w:rPr>
        <w:t>PASPA</w:t>
      </w:r>
      <w:r w:rsidRPr="001858AA">
        <w:rPr>
          <w:rFonts w:cs="Times New Roman"/>
          <w:color w:val="212121"/>
          <w:szCs w:val="24"/>
        </w:rPr>
        <w:t xml:space="preserve"> includes an exemption for States that permitted sports betting at the time of enactment, </w:t>
      </w:r>
      <w:r w:rsidRPr="001858AA">
        <w:rPr>
          <w:rFonts w:cs="Times New Roman"/>
          <w:szCs w:val="24"/>
        </w:rPr>
        <w:t>§3704, but suppose Congress did not adopt such an exemption. Suppose Congress ordered States with legalized sports betting to take the affirmative step of criminalizing that activity and ordered the remaining States to retain their laws prohibiting sports betting. There is no good reason why the former would intrude more deeply on state sovereignty than the latter.</w:t>
      </w:r>
    </w:p>
    <w:p w14:paraId="283B9CC2" w14:textId="77777777" w:rsidR="00C3741F" w:rsidRPr="001858AA" w:rsidRDefault="00C3741F" w:rsidP="00C3741F">
      <w:pPr>
        <w:autoSpaceDE w:val="0"/>
        <w:autoSpaceDN w:val="0"/>
        <w:adjustRightInd w:val="0"/>
        <w:ind w:firstLine="720"/>
        <w:rPr>
          <w:rFonts w:cs="Times New Roman"/>
          <w:szCs w:val="24"/>
        </w:rPr>
      </w:pPr>
      <w:r w:rsidRPr="001858AA">
        <w:rPr>
          <w:rFonts w:cs="Times New Roman"/>
          <w:szCs w:val="24"/>
        </w:rPr>
        <w:lastRenderedPageBreak/>
        <w:t xml:space="preserve">IV-B. Respondents and the United States claim that prior decisions of this Court show that </w:t>
      </w:r>
      <w:r w:rsidRPr="001858AA">
        <w:rPr>
          <w:rFonts w:cs="Times New Roman"/>
          <w:color w:val="252525"/>
          <w:szCs w:val="24"/>
        </w:rPr>
        <w:t xml:space="preserve">PASPA's </w:t>
      </w:r>
      <w:r w:rsidRPr="001858AA">
        <w:rPr>
          <w:rFonts w:cs="Times New Roman"/>
          <w:szCs w:val="24"/>
        </w:rPr>
        <w:t>anti-authorization provision is constitutional, but they misread those cases. In none of them did we uphold the constitutionality of a federal statute that commanded state legislatures to enact or refrain from enacting state law.</w:t>
      </w:r>
    </w:p>
    <w:p w14:paraId="11F99984" w14:textId="77777777" w:rsidR="00C3741F" w:rsidRPr="001858AA" w:rsidRDefault="00C3741F" w:rsidP="00C3741F">
      <w:pPr>
        <w:autoSpaceDE w:val="0"/>
        <w:autoSpaceDN w:val="0"/>
        <w:adjustRightInd w:val="0"/>
        <w:ind w:firstLine="720"/>
        <w:rPr>
          <w:rFonts w:cs="Times New Roman"/>
          <w:szCs w:val="24"/>
        </w:rPr>
      </w:pPr>
      <w:r w:rsidRPr="001858AA">
        <w:rPr>
          <w:rFonts w:cs="Times New Roman"/>
          <w:szCs w:val="24"/>
        </w:rPr>
        <w:t xml:space="preserve">In </w:t>
      </w:r>
      <w:r w:rsidRPr="001858AA">
        <w:rPr>
          <w:rFonts w:cs="Times New Roman"/>
          <w:i/>
          <w:iCs/>
          <w:szCs w:val="24"/>
        </w:rPr>
        <w:t xml:space="preserve">South Carolina v. Baker </w:t>
      </w:r>
      <w:r w:rsidRPr="001858AA">
        <w:rPr>
          <w:rFonts w:cs="Times New Roman"/>
          <w:szCs w:val="24"/>
        </w:rPr>
        <w:t>(1988), the federal law simply altered the federal tax treatment of private investments. Specifically, it removed the federal tax exemption for interest earned on state and local bonds unless they were issued in registered rather than bearer form. This law did not order the States to enact or maintain any existing laws. Rather, it simply had the indirect effect of pressuring States to increase the rate paid on their bearer bonds in order to make them competitive with other bonds paying taxable interest.</w:t>
      </w:r>
    </w:p>
    <w:p w14:paraId="2F832B08" w14:textId="77777777" w:rsidR="00C3741F" w:rsidRPr="001858AA" w:rsidRDefault="00C3741F" w:rsidP="00C3741F">
      <w:pPr>
        <w:autoSpaceDE w:val="0"/>
        <w:autoSpaceDN w:val="0"/>
        <w:adjustRightInd w:val="0"/>
        <w:ind w:firstLine="720"/>
        <w:rPr>
          <w:rFonts w:cs="Times New Roman"/>
          <w:szCs w:val="24"/>
        </w:rPr>
      </w:pPr>
      <w:r w:rsidRPr="001858AA">
        <w:rPr>
          <w:rFonts w:cs="Times New Roman"/>
          <w:szCs w:val="24"/>
        </w:rPr>
        <w:t>In any event, even if we assume that removal of the tax exemption was tantamount to an outright prohibition of the issuance of bearer bonds, see</w:t>
      </w:r>
      <w:r w:rsidRPr="001858AA">
        <w:rPr>
          <w:rFonts w:cs="Times New Roman"/>
          <w:i/>
          <w:iCs/>
          <w:szCs w:val="24"/>
        </w:rPr>
        <w:t xml:space="preserve"> Id., </w:t>
      </w:r>
      <w:r w:rsidRPr="001858AA">
        <w:rPr>
          <w:rFonts w:cs="Times New Roman"/>
          <w:szCs w:val="24"/>
        </w:rPr>
        <w:t>the law would simply treat state bonds the same as private bonds. The anticommandeering doctrine does not apply when Congress evenhandedly regulates an activity in which both States and private actors engage.</w:t>
      </w:r>
    </w:p>
    <w:p w14:paraId="56168FB9" w14:textId="77777777" w:rsidR="00C3741F" w:rsidRPr="001858AA" w:rsidRDefault="00C3741F" w:rsidP="00C3741F">
      <w:pPr>
        <w:autoSpaceDE w:val="0"/>
        <w:autoSpaceDN w:val="0"/>
        <w:adjustRightInd w:val="0"/>
        <w:ind w:firstLine="720"/>
        <w:rPr>
          <w:rFonts w:cs="Times New Roman"/>
          <w:szCs w:val="24"/>
        </w:rPr>
      </w:pPr>
      <w:r w:rsidRPr="001858AA">
        <w:rPr>
          <w:rFonts w:cs="Times New Roman"/>
          <w:szCs w:val="24"/>
        </w:rPr>
        <w:t xml:space="preserve">That principle formed the basis for the Court's decision in </w:t>
      </w:r>
      <w:r w:rsidRPr="001858AA">
        <w:rPr>
          <w:rFonts w:cs="Times New Roman"/>
          <w:i/>
          <w:iCs/>
          <w:szCs w:val="24"/>
        </w:rPr>
        <w:t xml:space="preserve">Reno v. Condon </w:t>
      </w:r>
      <w:r w:rsidRPr="001858AA">
        <w:rPr>
          <w:rFonts w:cs="Times New Roman"/>
          <w:szCs w:val="24"/>
        </w:rPr>
        <w:t xml:space="preserve">(2000), which concerned a federal law restricting the disclosure and dissemination of personal information provided in applications for driver's licenses. The law applied equally to state and private actors. It did not regulate the States' sovereign authority to “regulate their own citizens.” </w:t>
      </w:r>
      <w:r w:rsidRPr="001858AA">
        <w:rPr>
          <w:rFonts w:cs="Times New Roman"/>
          <w:i/>
          <w:iCs/>
          <w:szCs w:val="24"/>
        </w:rPr>
        <w:t xml:space="preserve">Id. </w:t>
      </w:r>
    </w:p>
    <w:p w14:paraId="3A94806D" w14:textId="77777777" w:rsidR="00C3741F" w:rsidRPr="001858AA" w:rsidRDefault="00C3741F" w:rsidP="00C3741F">
      <w:pPr>
        <w:ind w:firstLine="720"/>
        <w:rPr>
          <w:rFonts w:cs="Times New Roman"/>
          <w:szCs w:val="24"/>
        </w:rPr>
      </w:pPr>
      <w:r w:rsidRPr="001858AA">
        <w:rPr>
          <w:rFonts w:cs="Times New Roman"/>
          <w:szCs w:val="24"/>
        </w:rPr>
        <w:t xml:space="preserve">In </w:t>
      </w:r>
      <w:r w:rsidRPr="001F31AE">
        <w:rPr>
          <w:rFonts w:cs="Times New Roman"/>
          <w:szCs w:val="24"/>
          <w:lang w:val="en-CA"/>
        </w:rPr>
        <w:fldChar w:fldCharType="begin"/>
      </w:r>
      <w:r w:rsidRPr="001F31AE">
        <w:rPr>
          <w:rFonts w:cs="Times New Roman"/>
          <w:szCs w:val="24"/>
          <w:lang w:val="en-CA"/>
        </w:rPr>
        <w:instrText xml:space="preserve"> SEQ CHAPTER \h \r 1</w:instrText>
      </w:r>
      <w:r w:rsidRPr="001F31AE">
        <w:rPr>
          <w:rFonts w:cs="Times New Roman"/>
          <w:szCs w:val="24"/>
          <w:lang w:val="en-CA"/>
        </w:rPr>
        <w:fldChar w:fldCharType="end"/>
      </w:r>
      <w:r w:rsidRPr="001F31AE">
        <w:rPr>
          <w:rFonts w:cs="Times New Roman"/>
          <w:i/>
          <w:iCs/>
          <w:color w:val="252525"/>
          <w:szCs w:val="24"/>
        </w:rPr>
        <w:t>Hodel V. Virginia Surface Mining and Reclamation Association, Inc.</w:t>
      </w:r>
      <w:r>
        <w:rPr>
          <w:rFonts w:cs="Times New Roman"/>
          <w:i/>
          <w:iCs/>
          <w:color w:val="252525"/>
          <w:szCs w:val="24"/>
        </w:rPr>
        <w:t xml:space="preserve"> </w:t>
      </w:r>
      <w:r>
        <w:rPr>
          <w:rFonts w:cs="Times New Roman"/>
          <w:iCs/>
          <w:color w:val="252525"/>
          <w:szCs w:val="24"/>
        </w:rPr>
        <w:t>(1981)</w:t>
      </w:r>
      <w:r w:rsidRPr="001858AA">
        <w:rPr>
          <w:rFonts w:cs="Times New Roman"/>
          <w:szCs w:val="24"/>
        </w:rPr>
        <w:t>, the federal law, which involved what has been called “cooperative federalism,” by no means commandeered the state legislative process. Congress enacted a statute that comprehensively regulated surface coal mining and offered States the choice of “either implement[</w:t>
      </w:r>
      <w:proofErr w:type="spellStart"/>
      <w:r w:rsidRPr="001858AA">
        <w:rPr>
          <w:rFonts w:cs="Times New Roman"/>
          <w:szCs w:val="24"/>
        </w:rPr>
        <w:t>ing</w:t>
      </w:r>
      <w:proofErr w:type="spellEnd"/>
      <w:r w:rsidRPr="001858AA">
        <w:rPr>
          <w:rFonts w:cs="Times New Roman"/>
          <w:szCs w:val="24"/>
        </w:rPr>
        <w:t>]” the federal program “or else yield[</w:t>
      </w:r>
      <w:proofErr w:type="spellStart"/>
      <w:r w:rsidRPr="001858AA">
        <w:rPr>
          <w:rFonts w:cs="Times New Roman"/>
          <w:szCs w:val="24"/>
        </w:rPr>
        <w:t>ing</w:t>
      </w:r>
      <w:proofErr w:type="spellEnd"/>
      <w:r w:rsidRPr="001858AA">
        <w:rPr>
          <w:rFonts w:cs="Times New Roman"/>
          <w:szCs w:val="24"/>
        </w:rPr>
        <w:t xml:space="preserve">] to a federally administered regulatory program.” </w:t>
      </w:r>
      <w:r w:rsidRPr="001858AA">
        <w:rPr>
          <w:rFonts w:cs="Times New Roman"/>
          <w:i/>
          <w:iCs/>
          <w:szCs w:val="24"/>
        </w:rPr>
        <w:t>Ibid.</w:t>
      </w:r>
      <w:r w:rsidRPr="001858AA">
        <w:rPr>
          <w:rFonts w:cs="Times New Roman"/>
          <w:szCs w:val="24"/>
        </w:rPr>
        <w:t xml:space="preserve"> Thus, the federal law </w:t>
      </w:r>
      <w:r w:rsidRPr="001858AA">
        <w:rPr>
          <w:rFonts w:cs="Times New Roman"/>
          <w:i/>
          <w:iCs/>
          <w:szCs w:val="24"/>
        </w:rPr>
        <w:t>allowed</w:t>
      </w:r>
      <w:r w:rsidRPr="001858AA">
        <w:rPr>
          <w:rFonts w:cs="Times New Roman"/>
          <w:szCs w:val="24"/>
        </w:rPr>
        <w:t xml:space="preserve"> but did not </w:t>
      </w:r>
      <w:r w:rsidRPr="001858AA">
        <w:rPr>
          <w:rFonts w:cs="Times New Roman"/>
          <w:i/>
          <w:iCs/>
          <w:szCs w:val="24"/>
        </w:rPr>
        <w:t>require</w:t>
      </w:r>
      <w:r w:rsidRPr="001858AA">
        <w:rPr>
          <w:rFonts w:cs="Times New Roman"/>
          <w:szCs w:val="24"/>
        </w:rPr>
        <w:t xml:space="preserve"> the States to implement a federal program. “States [were] not compelled to enforce the [federal] standards, to expend any state funds, or to participate in the federal regulatory program in any manner whatsoever.” </w:t>
      </w:r>
      <w:r w:rsidRPr="001858AA">
        <w:rPr>
          <w:rFonts w:cs="Times New Roman"/>
          <w:i/>
          <w:iCs/>
          <w:szCs w:val="24"/>
        </w:rPr>
        <w:t xml:space="preserve">Id. </w:t>
      </w:r>
      <w:r w:rsidRPr="001858AA">
        <w:rPr>
          <w:rFonts w:cs="Times New Roman"/>
          <w:szCs w:val="24"/>
        </w:rPr>
        <w:t xml:space="preserve">If a State did not “wish” to bear the burden of regulation, the “full regulatory burden [would] be borne by the Federal Government.” </w:t>
      </w:r>
      <w:r w:rsidRPr="001858AA">
        <w:rPr>
          <w:rFonts w:cs="Times New Roman"/>
          <w:i/>
          <w:iCs/>
          <w:szCs w:val="24"/>
        </w:rPr>
        <w:t>Ibid.</w:t>
      </w:r>
    </w:p>
    <w:p w14:paraId="6E0FB5BA" w14:textId="77777777" w:rsidR="00C3741F" w:rsidRPr="001858AA" w:rsidRDefault="00C3741F" w:rsidP="00C3741F">
      <w:pPr>
        <w:autoSpaceDE w:val="0"/>
        <w:autoSpaceDN w:val="0"/>
        <w:adjustRightInd w:val="0"/>
        <w:ind w:firstLine="720"/>
        <w:rPr>
          <w:rFonts w:cs="Times New Roman"/>
          <w:color w:val="212121"/>
          <w:szCs w:val="24"/>
        </w:rPr>
      </w:pPr>
      <w:r w:rsidRPr="001858AA">
        <w:rPr>
          <w:rFonts w:cs="Times New Roman"/>
          <w:szCs w:val="24"/>
        </w:rPr>
        <w:t xml:space="preserve">Finally, in </w:t>
      </w:r>
      <w:r w:rsidRPr="001858AA">
        <w:rPr>
          <w:rFonts w:cs="Times New Roman"/>
          <w:i/>
          <w:iCs/>
          <w:szCs w:val="24"/>
        </w:rPr>
        <w:t xml:space="preserve">FERC v. Mississippi </w:t>
      </w:r>
      <w:r w:rsidRPr="001858AA">
        <w:rPr>
          <w:rFonts w:cs="Times New Roman"/>
          <w:szCs w:val="24"/>
        </w:rPr>
        <w:t xml:space="preserve">(1982), the federal law in question issued no command to a state legislature. Enacted to restrain the consumption of oil and natural gas, the federal law directed state utility regulatory commissions to consider, but not necessarily to adopt, federal “ ‘rate design’ and regulatory standards.” </w:t>
      </w:r>
      <w:r w:rsidRPr="001858AA">
        <w:rPr>
          <w:rFonts w:cs="Times New Roman"/>
          <w:i/>
          <w:iCs/>
          <w:szCs w:val="24"/>
        </w:rPr>
        <w:t>Id.</w:t>
      </w:r>
      <w:r w:rsidRPr="001858AA">
        <w:rPr>
          <w:rFonts w:cs="Times New Roman"/>
          <w:szCs w:val="24"/>
        </w:rPr>
        <w:t xml:space="preserve"> The Court held that this modest requirement did not infringe the States' sovereign powers, but the Court warned that it had “never ... sanctioned explicitly a federal command to the States to promulgate and enforce laws and regulations.”</w:t>
      </w:r>
      <w:r w:rsidRPr="001858AA">
        <w:rPr>
          <w:rFonts w:cs="Times New Roman"/>
          <w:i/>
          <w:iCs/>
          <w:color w:val="212121"/>
          <w:szCs w:val="24"/>
        </w:rPr>
        <w:t xml:space="preserve"> Id. FERC</w:t>
      </w:r>
      <w:r w:rsidRPr="001858AA">
        <w:rPr>
          <w:rFonts w:cs="Times New Roman"/>
          <w:color w:val="212121"/>
          <w:szCs w:val="24"/>
        </w:rPr>
        <w:t xml:space="preserve"> was decided well before our decisions in </w:t>
      </w:r>
      <w:r w:rsidRPr="001858AA">
        <w:rPr>
          <w:rFonts w:cs="Times New Roman"/>
          <w:i/>
          <w:iCs/>
          <w:color w:val="212121"/>
          <w:szCs w:val="24"/>
        </w:rPr>
        <w:t>New York</w:t>
      </w:r>
      <w:r w:rsidRPr="001858AA">
        <w:rPr>
          <w:rFonts w:cs="Times New Roman"/>
          <w:color w:val="212121"/>
          <w:szCs w:val="24"/>
        </w:rPr>
        <w:t xml:space="preserve"> and </w:t>
      </w:r>
      <w:r w:rsidRPr="001858AA">
        <w:rPr>
          <w:rFonts w:cs="Times New Roman"/>
          <w:i/>
          <w:iCs/>
          <w:color w:val="212121"/>
          <w:szCs w:val="24"/>
        </w:rPr>
        <w:t>Printz,</w:t>
      </w:r>
      <w:r w:rsidRPr="001858AA">
        <w:rPr>
          <w:rFonts w:cs="Times New Roman"/>
          <w:color w:val="212121"/>
          <w:szCs w:val="24"/>
        </w:rPr>
        <w:t xml:space="preserve"> and </w:t>
      </w:r>
      <w:r w:rsidRPr="001858AA">
        <w:rPr>
          <w:rFonts w:cs="Times New Roman"/>
          <w:color w:val="252525"/>
          <w:szCs w:val="24"/>
        </w:rPr>
        <w:t>PASPA</w:t>
      </w:r>
      <w:r w:rsidRPr="001858AA">
        <w:rPr>
          <w:rFonts w:cs="Times New Roman"/>
          <w:color w:val="212121"/>
          <w:szCs w:val="24"/>
        </w:rPr>
        <w:t xml:space="preserve">, unlike the law in </w:t>
      </w:r>
      <w:r w:rsidRPr="001858AA">
        <w:rPr>
          <w:rFonts w:cs="Times New Roman"/>
          <w:i/>
          <w:iCs/>
          <w:color w:val="212121"/>
          <w:szCs w:val="24"/>
        </w:rPr>
        <w:t>FERC,</w:t>
      </w:r>
      <w:r w:rsidRPr="001858AA">
        <w:rPr>
          <w:rFonts w:cs="Times New Roman"/>
          <w:color w:val="212121"/>
          <w:szCs w:val="24"/>
        </w:rPr>
        <w:t xml:space="preserve"> does far more than require States to </w:t>
      </w:r>
      <w:r w:rsidRPr="001858AA">
        <w:rPr>
          <w:rFonts w:cs="Times New Roman"/>
          <w:i/>
          <w:iCs/>
          <w:color w:val="212121"/>
          <w:szCs w:val="24"/>
        </w:rPr>
        <w:t>consider</w:t>
      </w:r>
      <w:r w:rsidRPr="001858AA">
        <w:rPr>
          <w:rFonts w:cs="Times New Roman"/>
          <w:color w:val="212121"/>
          <w:szCs w:val="24"/>
        </w:rPr>
        <w:t xml:space="preserve"> Congress's preference that the legalization of sports gambling be halted. See </w:t>
      </w:r>
      <w:r w:rsidRPr="001858AA">
        <w:rPr>
          <w:rFonts w:cs="Times New Roman"/>
          <w:i/>
          <w:iCs/>
          <w:color w:val="212121"/>
          <w:szCs w:val="24"/>
        </w:rPr>
        <w:t>Printz</w:t>
      </w:r>
      <w:r w:rsidRPr="001858AA">
        <w:rPr>
          <w:rFonts w:cs="Times New Roman"/>
          <w:color w:val="212121"/>
          <w:szCs w:val="24"/>
        </w:rPr>
        <w:t xml:space="preserve"> (distinguishing </w:t>
      </w:r>
      <w:r w:rsidRPr="001858AA">
        <w:rPr>
          <w:rFonts w:cs="Times New Roman"/>
          <w:i/>
          <w:iCs/>
          <w:color w:val="212121"/>
          <w:szCs w:val="24"/>
        </w:rPr>
        <w:t>FERC</w:t>
      </w:r>
      <w:r w:rsidRPr="001858AA">
        <w:rPr>
          <w:rFonts w:cs="Times New Roman"/>
          <w:color w:val="212121"/>
          <w:szCs w:val="24"/>
        </w:rPr>
        <w:t>).</w:t>
      </w:r>
    </w:p>
    <w:p w14:paraId="6BBBA27E" w14:textId="10E4725A" w:rsidR="00C3741F" w:rsidRDefault="00C3741F" w:rsidP="00C3741F">
      <w:pPr>
        <w:autoSpaceDE w:val="0"/>
        <w:autoSpaceDN w:val="0"/>
        <w:adjustRightInd w:val="0"/>
        <w:ind w:firstLine="720"/>
        <w:rPr>
          <w:rFonts w:cs="Times New Roman"/>
          <w:color w:val="212121"/>
          <w:szCs w:val="24"/>
        </w:rPr>
      </w:pPr>
      <w:r w:rsidRPr="001858AA">
        <w:rPr>
          <w:rFonts w:cs="Times New Roman"/>
          <w:color w:val="212121"/>
          <w:szCs w:val="24"/>
        </w:rPr>
        <w:lastRenderedPageBreak/>
        <w:t xml:space="preserve">In sum, none of the prior decisions on which respondents and the United States rely involved federal laws that commandeered the state legislative process. None concerned laws that directed the States either to enact or to refrain from enacting a regulation of the conduct of activities occurring within their borders. Therefore, none of these precedents supports the constitutionality of the </w:t>
      </w:r>
      <w:r w:rsidRPr="001858AA">
        <w:rPr>
          <w:rFonts w:cs="Times New Roman"/>
          <w:color w:val="252525"/>
          <w:szCs w:val="24"/>
        </w:rPr>
        <w:t xml:space="preserve">PASPA </w:t>
      </w:r>
      <w:r w:rsidRPr="001858AA">
        <w:rPr>
          <w:rFonts w:cs="Times New Roman"/>
          <w:color w:val="212121"/>
          <w:szCs w:val="24"/>
        </w:rPr>
        <w:t>provision at issue here.</w:t>
      </w:r>
    </w:p>
    <w:p w14:paraId="0D6146F1" w14:textId="77777777" w:rsidR="00BA4FC4" w:rsidRPr="000234D3" w:rsidRDefault="00BA4FC4" w:rsidP="000234D3">
      <w:pPr>
        <w:rPr>
          <w:b/>
          <w:i/>
          <w:szCs w:val="24"/>
        </w:rPr>
      </w:pPr>
      <w:bookmarkStart w:id="12" w:name="_Toc485988683"/>
      <w:r w:rsidRPr="000234D3">
        <w:rPr>
          <w:b/>
          <w:szCs w:val="24"/>
        </w:rPr>
        <w:t xml:space="preserve">Part III-B, </w:t>
      </w:r>
      <w:r w:rsidRPr="000234D3">
        <w:rPr>
          <w:b/>
        </w:rPr>
        <w:t xml:space="preserve">Note: </w:t>
      </w:r>
      <w:r w:rsidRPr="000234D3">
        <w:rPr>
          <w:b/>
          <w:i/>
        </w:rPr>
        <w:t>Alden v. Maine</w:t>
      </w:r>
      <w:r w:rsidRPr="000234D3">
        <w:rPr>
          <w:b/>
        </w:rPr>
        <w:t xml:space="preserve"> (1999)</w:t>
      </w:r>
    </w:p>
    <w:p w14:paraId="67EB49D0" w14:textId="77777777" w:rsidR="00BA4FC4" w:rsidRDefault="00BA4FC4" w:rsidP="00BA4FC4">
      <w:r>
        <w:t>[Replace Note III-B on page 221with new Note.]</w:t>
      </w:r>
    </w:p>
    <w:p w14:paraId="4BE5C4A0" w14:textId="77777777" w:rsidR="00BA4FC4" w:rsidRDefault="00BA4FC4" w:rsidP="006C08C8">
      <w:pPr>
        <w:pStyle w:val="Heading2"/>
        <w:jc w:val="center"/>
      </w:pPr>
      <w:bookmarkStart w:id="13" w:name="_Toc16886239"/>
      <w:r>
        <w:t xml:space="preserve">B. Note: </w:t>
      </w:r>
      <w:r w:rsidRPr="00574076">
        <w:rPr>
          <w:i/>
        </w:rPr>
        <w:t>Alden v. Maine</w:t>
      </w:r>
      <w:r>
        <w:t xml:space="preserve"> (1999)</w:t>
      </w:r>
      <w:bookmarkEnd w:id="12"/>
      <w:bookmarkEnd w:id="13"/>
    </w:p>
    <w:p w14:paraId="48B50BEF" w14:textId="77777777" w:rsidR="00BA4FC4" w:rsidRDefault="00BA4FC4" w:rsidP="00BA4FC4">
      <w:pPr>
        <w:jc w:val="both"/>
      </w:pPr>
      <w:r>
        <w:tab/>
        <w:t xml:space="preserve">In </w:t>
      </w:r>
      <w:r>
        <w:rPr>
          <w:i/>
        </w:rPr>
        <w:t>Alden</w:t>
      </w:r>
      <w:r>
        <w:t>, a group of probation officers filed suit in state court in Maine for violation of the overtime provisions of the Federal Fair Labor Standards Act (FLSA). Their federal suit had been dismissed due to the 11</w:t>
      </w:r>
      <w:r w:rsidRPr="00563F2E">
        <w:rPr>
          <w:vertAlign w:val="superscript"/>
        </w:rPr>
        <w:t>th</w:t>
      </w:r>
      <w:r>
        <w:t xml:space="preserve"> Amendment. </w:t>
      </w:r>
      <w:r w:rsidRPr="00A659E3">
        <w:t xml:space="preserve">In </w:t>
      </w:r>
      <w:r w:rsidRPr="00A659E3">
        <w:rPr>
          <w:i/>
        </w:rPr>
        <w:t>Garcia v. San Antonio Metropolitan Transit Authority</w:t>
      </w:r>
      <w:r w:rsidRPr="00A659E3">
        <w:t xml:space="preserve"> (1985), the Court held that the </w:t>
      </w:r>
      <w:r>
        <w:t>C</w:t>
      </w:r>
      <w:r w:rsidRPr="00A659E3">
        <w:t xml:space="preserve">ommerce </w:t>
      </w:r>
      <w:r>
        <w:t>C</w:t>
      </w:r>
      <w:r w:rsidRPr="00A659E3">
        <w:t>lause confers power on Congress to require states to pay federally prescribed minimum wages to their employees.</w:t>
      </w:r>
      <w:r>
        <w:t xml:space="preserve"> In </w:t>
      </w:r>
      <w:r w:rsidRPr="00016701">
        <w:rPr>
          <w:i/>
        </w:rPr>
        <w:t>Alden</w:t>
      </w:r>
      <w:r>
        <w:t xml:space="preserve">, the issue was whether the probation officers </w:t>
      </w:r>
      <w:r w:rsidRPr="00016701">
        <w:rPr>
          <w:i/>
        </w:rPr>
        <w:t>themselves</w:t>
      </w:r>
      <w:r>
        <w:t xml:space="preserve"> could sue the state of Maine for damages to enforce their statutory right to overtime pay or whether only the U.S. Department of Labor could sue on their behalf. As a practical matter, it is highly unlikely the Department of Labor could or would sue on behalf of all wronged employees nationwide.</w:t>
      </w:r>
    </w:p>
    <w:p w14:paraId="6497B98C" w14:textId="77777777" w:rsidR="00BA4FC4" w:rsidRDefault="00BA4FC4" w:rsidP="00BA4FC4">
      <w:pPr>
        <w:ind w:firstLine="720"/>
        <w:jc w:val="both"/>
      </w:pPr>
      <w:r>
        <w:rPr>
          <w:i/>
        </w:rPr>
        <w:t xml:space="preserve"> </w:t>
      </w:r>
      <w:r>
        <w:t xml:space="preserve">In his 5-4 opinion for the Court, Justice Kennedy found the Constitution barred the suit. While sovereign immunity is not explicitly mentioned in the Constitutional text, the majority opinion relied upon inferences from the text, history, and structure of the Constitution to emphasize the need for a vital conception of state sovereignty and state sovereign immunity. </w:t>
      </w:r>
    </w:p>
    <w:p w14:paraId="2BB61504" w14:textId="77777777" w:rsidR="00BA4FC4" w:rsidRPr="00620527" w:rsidRDefault="00BA4FC4" w:rsidP="00BA4FC4">
      <w:pPr>
        <w:ind w:firstLine="720"/>
        <w:jc w:val="both"/>
        <w:rPr>
          <w:b/>
        </w:rPr>
      </w:pPr>
      <w:r>
        <w:t xml:space="preserve">The Court pointed out that the Constitution contains various provisions that “assume the States’ continued existence and active participation in the fundamental processes of governance,” including the constitutional amendment process as prescribed in Article V. The Court also observed that the limited and enumerated powers of the three branches of the federal government “underscore the vital role reserved to the States by the constitutional design.” Moreover, the majority said, the 10th Amendment “was enacted to allay lingering concerns about the extent of the national power.” In this case, the Supremacy Clause provided no basis for allowing individuals to bring federal lawsuits against states, the Court explained, because “the supreme Law of the Land” to which it refers extends only to federal laws “that accord with the constitutional design,” </w:t>
      </w:r>
      <w:r w:rsidRPr="00007BA8">
        <w:t>citing</w:t>
      </w:r>
      <w:r>
        <w:rPr>
          <w:i/>
        </w:rPr>
        <w:t xml:space="preserve"> Printz v. United States </w:t>
      </w:r>
      <w:r w:rsidRPr="00007BA8">
        <w:t>(1997).</w:t>
      </w:r>
      <w:r>
        <w:t xml:space="preserve">  </w:t>
      </w:r>
      <w:r w:rsidRPr="00764517">
        <w:t>The Court similarly denied that “the specific Article I powers delegated to Congress necessarily include, by virtue of the Necessary and Proper Clause, the incidental authority to subject the States to private suits as a means to achieve objectives otherwise within the scope of the enumerated powers.”</w:t>
      </w:r>
      <w:r>
        <w:t xml:space="preserve">  In effect, the power was blocked by an implicit structural independent bar.</w:t>
      </w:r>
    </w:p>
    <w:p w14:paraId="0350F62D" w14:textId="77777777" w:rsidR="00BA4FC4" w:rsidRDefault="00BA4FC4" w:rsidP="00BA4FC4">
      <w:pPr>
        <w:ind w:firstLine="720"/>
        <w:jc w:val="both"/>
        <w:rPr>
          <w:b/>
        </w:rPr>
      </w:pPr>
      <w:r>
        <w:t xml:space="preserve">In reviewing history, the Court found that the concept of sovereign immunity was deeply rooted in English and early American understanding. </w:t>
      </w:r>
      <w:r w:rsidRPr="00764517">
        <w:t xml:space="preserve">The Framers “considered immunity from </w:t>
      </w:r>
      <w:r w:rsidRPr="00764517">
        <w:lastRenderedPageBreak/>
        <w:t xml:space="preserve">private suits central to sovereignty.” The English common law barred suits against the Crown without its consent. This doctrine of sovereign immunity was “universal” in the States when the Constitution was drafted and ratified, and </w:t>
      </w:r>
      <w:r>
        <w:t xml:space="preserve">the </w:t>
      </w:r>
      <w:r w:rsidRPr="00764517">
        <w:t xml:space="preserve">Court doubted that the states would have ratified the Constitution if it had jeopardized their sovereignty.  The Court quoted Alexander Hamilton in No. 81 of </w:t>
      </w:r>
      <w:r w:rsidRPr="00764517">
        <w:rPr>
          <w:i/>
        </w:rPr>
        <w:t>The Federalist</w:t>
      </w:r>
      <w:r w:rsidRPr="00764517">
        <w:t xml:space="preserve">: “It is inherent in the nature of sovereignty for the sovereign not to be amenable to the suit of an individual </w:t>
      </w:r>
      <w:r w:rsidRPr="00764517">
        <w:rPr>
          <w:i/>
        </w:rPr>
        <w:t>without its consent</w:t>
      </w:r>
      <w:r w:rsidRPr="00764517">
        <w:t xml:space="preserve">.”  The outrage over </w:t>
      </w:r>
      <w:r w:rsidRPr="00764517">
        <w:rPr>
          <w:i/>
        </w:rPr>
        <w:t xml:space="preserve">Chisholm v. Georgia </w:t>
      </w:r>
      <w:r>
        <w:t xml:space="preserve">(1793), </w:t>
      </w:r>
      <w:r w:rsidRPr="00764517">
        <w:t xml:space="preserve">and the subsequent enactment of the </w:t>
      </w:r>
      <w:r>
        <w:t>11th</w:t>
      </w:r>
      <w:r w:rsidRPr="00764517">
        <w:t xml:space="preserve"> Amendment, </w:t>
      </w:r>
      <w:r>
        <w:t xml:space="preserve">the Court contended, was intended “to restore the original constitutional design” by preserving the states’ “traditional immunity from private suits.”  </w:t>
      </w:r>
      <w:r w:rsidRPr="00764517">
        <w:t>Federal statutes subjecting non-consenting states to private lawsuits were of “relatively recent origin and therefore not probative…of a constitutional tradition that lends meaning to the text.”</w:t>
      </w:r>
    </w:p>
    <w:p w14:paraId="5400C6E8" w14:textId="22B6D4AB" w:rsidR="00BA4FC4" w:rsidRPr="008A4A9A" w:rsidRDefault="00BA4FC4" w:rsidP="00BA4FC4">
      <w:pPr>
        <w:ind w:firstLine="720"/>
        <w:jc w:val="both"/>
        <w:rPr>
          <w:b/>
        </w:rPr>
      </w:pPr>
      <w:r w:rsidRPr="00D00AB5">
        <w:t xml:space="preserve">Responding to the dissent’s claim that neither the common law </w:t>
      </w:r>
      <w:r>
        <w:t>n</w:t>
      </w:r>
      <w:r w:rsidRPr="00D00AB5">
        <w:t>or natural law supported sovereign immunity, the majority said that “[a]</w:t>
      </w:r>
      <w:proofErr w:type="spellStart"/>
      <w:r w:rsidRPr="00D00AB5">
        <w:t>lthough</w:t>
      </w:r>
      <w:proofErr w:type="spellEnd"/>
      <w:r w:rsidRPr="00D00AB5">
        <w:t xml:space="preserve"> the sovereign immunity of the States derives at least in part from the common-law tradition, the structure and history of the Constitution make clear that the immunity exists today by constitutional design.”</w:t>
      </w:r>
      <w:r>
        <w:rPr>
          <w:b/>
        </w:rPr>
        <w:t xml:space="preserve"> </w:t>
      </w:r>
      <w:r w:rsidRPr="00D00AB5">
        <w:t xml:space="preserve">The majority noted that the text and structure of the Constitution protect many rights, such as trial by jury, that derive from the common law. The common-law lineage of these rights does not mean that they are defeasible by statute or remain mere common-law rights, however. They are, rather, constitutional rights, and form the fundamental law of the land.”  In denying that the Court was relying upon natural law that was defeasible by statute, the majority similarly explained that “[w]e </w:t>
      </w:r>
      <w:proofErr w:type="gramStart"/>
      <w:r w:rsidRPr="00D00AB5">
        <w:t>do</w:t>
      </w:r>
      <w:proofErr w:type="gramEnd"/>
      <w:r w:rsidRPr="00D00AB5">
        <w:t xml:space="preserve"> not contend the founders could not have stripped the States of sovereign immunity and granted Congress power to subject them to private suit but only that they did not do so. By the same token, the contours of sovereign immunity are determined by the founders’ understanding, not by the principles or limitations derived from natural law.”</w:t>
      </w:r>
    </w:p>
    <w:p w14:paraId="3CDB92B8" w14:textId="77777777" w:rsidR="00BA4FC4" w:rsidRDefault="00BA4FC4" w:rsidP="00BA4FC4">
      <w:pPr>
        <w:ind w:firstLine="720"/>
        <w:jc w:val="both"/>
      </w:pPr>
      <w:r>
        <w:t>The Court emphasized that the immunity of states from lawsuits based on federal law was an integral part of the fabric of federalism</w:t>
      </w:r>
      <w:r>
        <w:rPr>
          <w:i/>
        </w:rPr>
        <w:t xml:space="preserve"> </w:t>
      </w:r>
      <w:r w:rsidRPr="00D00AB5">
        <w:t>and dual sovereignty</w:t>
      </w:r>
      <w:r>
        <w:t>. “Although the Constitution grants broad powers to Congress, our federalism requires that Congress treat the States in a manner consistent with their status as residuary sovereigns and joint participants in the governance of the Nation.” The Court explained that the Court’s respect for traditional notions of state sovereign immunity embodied in the structure of the Constitution had caused the Court to uphold state “sovereign immunity in various contexts falling outside the literal text of the 11</w:t>
      </w:r>
      <w:r w:rsidRPr="009316F3">
        <w:rPr>
          <w:vertAlign w:val="superscript"/>
        </w:rPr>
        <w:t>th</w:t>
      </w:r>
      <w:r>
        <w:t xml:space="preserve"> Amendment.”   </w:t>
      </w:r>
    </w:p>
    <w:p w14:paraId="4E985E8E" w14:textId="77777777" w:rsidR="00BA4FC4" w:rsidRPr="00D00AB5" w:rsidRDefault="00BA4FC4" w:rsidP="00BA4FC4">
      <w:pPr>
        <w:ind w:firstLine="720"/>
        <w:jc w:val="both"/>
      </w:pPr>
      <w:r w:rsidRPr="00D00AB5">
        <w:t>The Court rejected the argument “that immunity from suit in federal court suffices to preserve the dignity of the States.” A state court lawsuit subjected a state to “the prospect of being thrust, by federal fiat and against its will, into the disfavored status of a debtor, subject to the power of private citizens to levy on the treasury or perhaps even government buildings or property which the State administers on the public’s behalf.”  The Court warned that “[p]</w:t>
      </w:r>
      <w:proofErr w:type="spellStart"/>
      <w:r w:rsidRPr="00D00AB5">
        <w:t>rivate</w:t>
      </w:r>
      <w:proofErr w:type="spellEnd"/>
      <w:r w:rsidRPr="00D00AB5">
        <w:t xml:space="preserve"> suits against non</w:t>
      </w:r>
      <w:r>
        <w:t>-</w:t>
      </w:r>
      <w:r w:rsidRPr="00D00AB5">
        <w:t xml:space="preserve">consenting States–especially suits for money damages–may threaten the financial integrity of the States” and “place unwarranted strain on the States’ ability to govern in accordance with the will of their citizens.” Such lawsuits also could provide Congress with “a power and a leverage over </w:t>
      </w:r>
      <w:r w:rsidRPr="00D00AB5">
        <w:lastRenderedPageBreak/>
        <w:t xml:space="preserve">the States that is not contemplated by our constitutional design.” Pointing out that the federal government could not be sued in state courts without its consent, the Court explained that dual sovereignty demanded that states be entitled to a reciprocal privilege. </w:t>
      </w:r>
    </w:p>
    <w:p w14:paraId="467052E4" w14:textId="77777777" w:rsidR="00BA4FC4" w:rsidRDefault="00BA4FC4" w:rsidP="00BA4FC4">
      <w:pPr>
        <w:jc w:val="both"/>
      </w:pPr>
      <w:r>
        <w:tab/>
        <w:t xml:space="preserve">The Court contended that its rule would not necessarily mean that states would flout federal law. It explained that states and their officers are bound to obey the Constitution and federal statutes and that the Court therefore was “unwilling to assume the States will refuse to honor the Constitution or obey the binding laws of the United States.” </w:t>
      </w:r>
    </w:p>
    <w:p w14:paraId="5E28BE7B" w14:textId="77777777" w:rsidR="00BA4FC4" w:rsidRPr="00A24150" w:rsidRDefault="00BA4FC4" w:rsidP="00BA4FC4">
      <w:pPr>
        <w:ind w:firstLine="720"/>
        <w:jc w:val="both"/>
      </w:pPr>
      <w:r>
        <w:t>The Court noted exceptions to the doctrine of state sovereign immunity. The states in ratifying the Constitution consented to lawsuits brought by other States or the federal government. Moreover, the 14</w:t>
      </w:r>
      <w:r w:rsidRPr="00016701">
        <w:rPr>
          <w:vertAlign w:val="superscript"/>
        </w:rPr>
        <w:t>th</w:t>
      </w:r>
      <w:r>
        <w:t xml:space="preserve"> Amendment permits Congress (in some circumstances</w:t>
      </w:r>
      <w:r w:rsidRPr="00D00AB5">
        <w:t>–</w:t>
      </w:r>
      <w:r>
        <w:t xml:space="preserve">but obviously not here) to authorize private suits against non-consenting States pursuant to its enforcement powers in § 5. The Court stated that another “important limit to the principle of sovereign immunity is that it bars suits against States but not lesser entities.”  Accordingly, immunity “does not extend to suits prosecuted against a municipal corporation or other governmental entity which is not an arm of the State.” Moreover, “certain suits for declaratory or injunctive relief against state officers must…be permitted if the Constitution is to remain the supreme law of the land,” </w:t>
      </w:r>
      <w:r w:rsidRPr="00007BA8">
        <w:t>citing</w:t>
      </w:r>
      <w:r>
        <w:rPr>
          <w:i/>
        </w:rPr>
        <w:t xml:space="preserve"> Ex </w:t>
      </w:r>
      <w:proofErr w:type="spellStart"/>
      <w:r>
        <w:rPr>
          <w:i/>
        </w:rPr>
        <w:t>parte</w:t>
      </w:r>
      <w:proofErr w:type="spellEnd"/>
      <w:r>
        <w:rPr>
          <w:i/>
        </w:rPr>
        <w:t xml:space="preserve"> Young </w:t>
      </w:r>
      <w:r>
        <w:t>(1908). Moreover, “[e]</w:t>
      </w:r>
      <w:proofErr w:type="spellStart"/>
      <w:r>
        <w:t>ven</w:t>
      </w:r>
      <w:proofErr w:type="spellEnd"/>
      <w:r>
        <w:t xml:space="preserve"> a suit for money damages may be prosecuted against a state officer in his individual capacity for unconstitutional or wrongful conduct fairly attributable to the officer himself, so long as the relief is sought not from the state treasury but from the officer personally.”</w:t>
      </w:r>
    </w:p>
    <w:p w14:paraId="5C2063BA" w14:textId="77777777" w:rsidR="00BA4FC4" w:rsidRDefault="00BA4FC4" w:rsidP="00BA4FC4">
      <w:pPr>
        <w:jc w:val="both"/>
        <w:rPr>
          <w:b/>
        </w:rPr>
      </w:pPr>
      <w:r>
        <w:tab/>
        <w:t xml:space="preserve">Justice Souter, in a vigorous dissent joined by Justices Stevens, Ginsburg, and Breyer, rejected the historical and structural premises of the Court. </w:t>
      </w:r>
      <w:proofErr w:type="gramStart"/>
      <w:r>
        <w:t>In particular, the</w:t>
      </w:r>
      <w:proofErr w:type="gramEnd"/>
      <w:r>
        <w:t xml:space="preserve"> dissenters denied that sovereign immunity was a fundamental aspect of state sovereignty </w:t>
      </w:r>
      <w:r w:rsidRPr="00D00AB5">
        <w:t xml:space="preserve">under common law </w:t>
      </w:r>
      <w:r>
        <w:t>before the Revolution because sovereignty immunity was “a privilege understood in English law to be reserved for the Crown alone.”</w:t>
      </w:r>
      <w:r w:rsidRPr="00D00AB5">
        <w:t xml:space="preserve"> The dissenters similarly denied that the colonists or the Framers embraced a natural law concept of sovereign immunity as inherent in state sovereignty.</w:t>
      </w:r>
      <w:r>
        <w:t xml:space="preserve"> Souter found that state constitutions enacted between the Revolution and the ratification of the Constitution did not claim sovereign immunity. According to Souter, no one at the time of ratification espoused the broad vision of sovereign immunity upon which the Court relied in its opinion. Souter also emphasized that none of the decisions of the justices in </w:t>
      </w:r>
      <w:r>
        <w:rPr>
          <w:i/>
        </w:rPr>
        <w:t>Chisholm</w:t>
      </w:r>
      <w:r>
        <w:t xml:space="preserve">, including Justice Iredell’s dissent, even mentioned any general theory of state sovereignty or the 10th Amendment. </w:t>
      </w:r>
      <w:r w:rsidRPr="00FF0406">
        <w:t xml:space="preserve">Indeed, at least two justices, James Wilson (one of the Framers) and John Jay, regarded sovereign immunity as an incident of European feudalism that would be anomalous in the American Republic. But if sovereign immunity had been part of the common law of the colonies and the new states, the dissent noted that it was defeasible by statute and </w:t>
      </w:r>
      <w:proofErr w:type="gramStart"/>
      <w:r w:rsidRPr="00FF0406">
        <w:t>should  be</w:t>
      </w:r>
      <w:proofErr w:type="gramEnd"/>
      <w:r w:rsidRPr="00FF0406">
        <w:t xml:space="preserve"> defeasible by supreme federal law. The dissent rejected the analogy to common law rights that were protected by the text of the Constitution by noting that unlike these Bill of Rights liberties, sovereign immunity was not explicit in the Constitu</w:t>
      </w:r>
      <w:r>
        <w:t>ti</w:t>
      </w:r>
      <w:r w:rsidRPr="00FF0406">
        <w:t>on’s text.</w:t>
      </w:r>
    </w:p>
    <w:p w14:paraId="619EB7C0" w14:textId="77777777" w:rsidR="00BA4FC4" w:rsidRPr="00FF0406" w:rsidRDefault="00BA4FC4" w:rsidP="00BA4FC4">
      <w:pPr>
        <w:jc w:val="both"/>
      </w:pPr>
      <w:r>
        <w:rPr>
          <w:b/>
        </w:rPr>
        <w:lastRenderedPageBreak/>
        <w:tab/>
      </w:r>
      <w:r w:rsidRPr="00FF0406">
        <w:t xml:space="preserve">The dissenters also insisted that “[t]here is no evidence that the </w:t>
      </w:r>
      <w:r>
        <w:t>10th</w:t>
      </w:r>
      <w:r w:rsidRPr="00FF0406">
        <w:t xml:space="preserve"> Amendment constitutionalized a concept of sovereign immunity as inherent in the notion of statehood.” They rejected English precedents for sovereign immunity and pointed out that the monarchical origins of sovereign immunity were “inimical to the republican conception, which rests on the understanding of its citizens precisely that the government is not above them, but of them, its actions being governed by law just like their own.” </w:t>
      </w:r>
    </w:p>
    <w:p w14:paraId="20FC3125" w14:textId="77777777" w:rsidR="00BA4FC4" w:rsidRPr="00FF0406" w:rsidRDefault="00BA4FC4" w:rsidP="00BA4FC4">
      <w:pPr>
        <w:jc w:val="both"/>
      </w:pPr>
      <w:r w:rsidRPr="00FF0406">
        <w:tab/>
        <w:t xml:space="preserve"> The dissent insisted that deference to the Framers’ intentions regarding the text or structure of the Constitution did not mean that the Framers “hover over the instrument to veto any application of its principles to a world that the Framers could not have anticipated.” He observed that “[</w:t>
      </w:r>
      <w:proofErr w:type="spellStart"/>
      <w:r w:rsidRPr="00FF0406">
        <w:t>i</w:t>
      </w:r>
      <w:proofErr w:type="spellEnd"/>
      <w:r w:rsidRPr="00FF0406">
        <w:t>]f the Framers would be surprised to see States subjected to suits in their own courts under the commerce power, they would be astonished by the reach of Congress under the Commerce Clause generally…and the administrative state with its reams of regulations would leave them rubbing their eyes.” This does not mean, however, that the FLSA or other federal regulations unforeseen by the Framers are unconstitutional, however, for:</w:t>
      </w:r>
    </w:p>
    <w:p w14:paraId="05F61D9B" w14:textId="77777777" w:rsidR="00BA4FC4" w:rsidRPr="00F415A3" w:rsidRDefault="00BA4FC4" w:rsidP="00BA4FC4">
      <w:pPr>
        <w:ind w:left="720"/>
        <w:jc w:val="both"/>
        <w:rPr>
          <w:b/>
        </w:rPr>
      </w:pPr>
      <w:r w:rsidRPr="00FF0406">
        <w:t xml:space="preserve">“[W]hen we are dealing with words that also are a constituent act, like the Constitution of the United States, we must realize that they have called into life a being the development of which could not have been foreseen completely by the most gifted of its begetters. It was enough for them to realize or to hope that they had created an organism; it has taken a century and has cost their successors much sweat and blood to prove that they created a nation. The case before us must be considered in the light of our whole experience and not merely in what of what was said a hundred years ago. </w:t>
      </w:r>
      <w:r w:rsidRPr="00FF0406">
        <w:rPr>
          <w:i/>
        </w:rPr>
        <w:t>Missouri v. Holland</w:t>
      </w:r>
      <w:r w:rsidRPr="00FF0406">
        <w:t xml:space="preserve"> (1920) (Holmes, J.)</w:t>
      </w:r>
    </w:p>
    <w:p w14:paraId="4DDA6986" w14:textId="77777777" w:rsidR="00BA4FC4" w:rsidRDefault="00BA4FC4" w:rsidP="00BA4FC4">
      <w:pPr>
        <w:jc w:val="both"/>
      </w:pPr>
      <w:r>
        <w:tab/>
        <w:t xml:space="preserve">In rejecting the Court’s contention that state sovereign immunity is an integral part of federalism, the dissenters pointed out that Maine was “not sovereign with respect to the national objective of the FLSA. It is not the authority that promulgated the FLSA, on which the right of action in this case depends. That authority is the United States acting through the Congress, whose legislative power under Article I of the Constitution to extend FLSA coverage to state </w:t>
      </w:r>
      <w:proofErr w:type="gramStart"/>
      <w:r>
        <w:t>employees”</w:t>
      </w:r>
      <w:proofErr w:type="gramEnd"/>
      <w:r>
        <w:t xml:space="preserve"> was decided in </w:t>
      </w:r>
      <w:r>
        <w:rPr>
          <w:i/>
        </w:rPr>
        <w:t>Garcia</w:t>
      </w:r>
      <w:r>
        <w:t xml:space="preserve">. </w:t>
      </w:r>
      <w:r w:rsidRPr="00FF0406">
        <w:t xml:space="preserve">Accordingly, the </w:t>
      </w:r>
      <w:proofErr w:type="gramStart"/>
      <w:r w:rsidRPr="00FF0406">
        <w:t>dissent  contended</w:t>
      </w:r>
      <w:proofErr w:type="gramEnd"/>
      <w:r w:rsidRPr="00FF0406">
        <w:t xml:space="preserve"> that the Supremacy Clause , “which requires state courts to enforce federal law and state-court judges to be bound by it, requires the Maine courts to entertain this federal cause of action.”</w:t>
      </w:r>
      <w:r>
        <w:t xml:space="preserve"> For the dissenters, the Court’s decision “vitiated” </w:t>
      </w:r>
      <w:r>
        <w:rPr>
          <w:i/>
        </w:rPr>
        <w:t>Garcia</w:t>
      </w:r>
      <w:r>
        <w:t xml:space="preserve">. They doubted that lawsuits by the federal government against the states (a route still open) could ensure compliance, because Congress was unlikely to provide adequate funding to “assure compliance with this federal law in the multifarious circumstances of some 4.7 million employees of the 50 States.”  </w:t>
      </w:r>
    </w:p>
    <w:p w14:paraId="4F0F0595" w14:textId="77777777" w:rsidR="00BA4FC4" w:rsidRDefault="00BA4FC4" w:rsidP="00BA4FC4">
      <w:pPr>
        <w:ind w:firstLine="720"/>
        <w:jc w:val="both"/>
      </w:pPr>
      <w:proofErr w:type="gramStart"/>
      <w:r>
        <w:t>With regard to</w:t>
      </w:r>
      <w:proofErr w:type="gramEnd"/>
      <w:r>
        <w:t xml:space="preserve"> state compliance with federal law, the dissenters sardonically expressed hope that “such voluntary compliance will prove more popular than it has in Maine.” </w:t>
      </w:r>
      <w:r>
        <w:rPr>
          <w:b/>
        </w:rPr>
        <w:t xml:space="preserve">  </w:t>
      </w:r>
      <w:r w:rsidRPr="00FF0406">
        <w:t xml:space="preserve">In this case, “[t]he ‘judgment creditor’ in question is not a dunning bill collector, but a citizen whose federal rights have been violated, and a constitutional structure that stints on enforcing federal rights out </w:t>
      </w:r>
      <w:r w:rsidRPr="00FF0406">
        <w:lastRenderedPageBreak/>
        <w:t xml:space="preserve">of an abundance of delicacy toward the States has substituted politesse in place of respect for the rule of law.” </w:t>
      </w:r>
      <w:r>
        <w:t xml:space="preserve"> For the dissenters, the Court’s reliance upon what it regarded as the deeply rooted tradition of sovereign immunity was ironic because the Court had abandoned “a principle nearly as inveterate, and much closer to the hearts of the Framers: that where there is a right, there must be a remedy.”  </w:t>
      </w:r>
    </w:p>
    <w:p w14:paraId="0E55FF0C" w14:textId="77777777" w:rsidR="00BA4FC4" w:rsidRDefault="00BA4FC4" w:rsidP="00BA4FC4">
      <w:pPr>
        <w:widowControl w:val="0"/>
        <w:ind w:firstLine="720"/>
        <w:jc w:val="both"/>
      </w:pPr>
      <w:r w:rsidRPr="00FF0406">
        <w:t>The dissenters saw a “striking” resemblance between the Court’s concept of s</w:t>
      </w:r>
      <w:r>
        <w:t xml:space="preserve">overeign immunity and the version of due process invoked by the Court in the </w:t>
      </w:r>
      <w:r w:rsidRPr="00907A00">
        <w:rPr>
          <w:i/>
        </w:rPr>
        <w:t>Lochner</w:t>
      </w:r>
      <w:r>
        <w:t xml:space="preserve"> era</w:t>
      </w:r>
      <w:r w:rsidRPr="00FF0406">
        <w:t xml:space="preserve"> to nullify soci</w:t>
      </w:r>
      <w:r>
        <w:t>al and economic regulations under the</w:t>
      </w:r>
      <w:r w:rsidRPr="00FF0406">
        <w:t xml:space="preserve"> due process clauses of the </w:t>
      </w:r>
      <w:r>
        <w:t>5</w:t>
      </w:r>
      <w:r w:rsidRPr="00016701">
        <w:rPr>
          <w:vertAlign w:val="superscript"/>
        </w:rPr>
        <w:t>th</w:t>
      </w:r>
      <w:r>
        <w:t xml:space="preserve"> </w:t>
      </w:r>
      <w:r w:rsidRPr="00FF0406">
        <w:t xml:space="preserve">and </w:t>
      </w:r>
      <w:r>
        <w:t>14</w:t>
      </w:r>
      <w:r w:rsidRPr="00016701">
        <w:rPr>
          <w:vertAlign w:val="superscript"/>
        </w:rPr>
        <w:t>th</w:t>
      </w:r>
      <w:r>
        <w:t xml:space="preserve"> </w:t>
      </w:r>
      <w:r w:rsidRPr="00FF0406">
        <w:t xml:space="preserve">Amendments. “The Court began this century [in the </w:t>
      </w:r>
      <w:r w:rsidRPr="00FF0406">
        <w:rPr>
          <w:i/>
        </w:rPr>
        <w:t>Lochner</w:t>
      </w:r>
      <w:r w:rsidRPr="00FF0406">
        <w:t xml:space="preserve"> era]</w:t>
      </w:r>
      <w:r>
        <w:t xml:space="preserve"> </w:t>
      </w:r>
      <w:r w:rsidRPr="00FF0406">
        <w:t xml:space="preserve">by imputing immutable constitutional status to a conception of economic self-reliance that was never true to industrial life and grew insistently fictional with the years, and the Court has chosen to close the century by conferring like status on a conception of state sovereign immunity that is true neither to history nor to the structure of the Constitution.” </w:t>
      </w:r>
    </w:p>
    <w:p w14:paraId="142621A4" w14:textId="77777777" w:rsidR="00BA4FC4" w:rsidRPr="00574076" w:rsidRDefault="00BA4FC4" w:rsidP="00BA4FC4">
      <w:pPr>
        <w:widowControl w:val="0"/>
        <w:ind w:firstLine="720"/>
        <w:jc w:val="both"/>
      </w:pPr>
      <w:r>
        <w:t xml:space="preserve">An edited version of </w:t>
      </w:r>
      <w:r w:rsidRPr="00F75190">
        <w:rPr>
          <w:i/>
        </w:rPr>
        <w:t>Alden v. Maine</w:t>
      </w:r>
      <w:r>
        <w:rPr>
          <w:i/>
        </w:rPr>
        <w:t xml:space="preserve"> </w:t>
      </w:r>
      <w:r>
        <w:t>is posted with the supplemental materials on conlawincontext.com.</w:t>
      </w:r>
    </w:p>
    <w:p w14:paraId="15E53F7C" w14:textId="77777777" w:rsidR="00BA4FC4" w:rsidRPr="00EB20BE" w:rsidRDefault="00BA4FC4" w:rsidP="00BA4FC4">
      <w:pPr>
        <w:ind w:firstLine="720"/>
        <w:jc w:val="both"/>
        <w:rPr>
          <w:i/>
        </w:rPr>
      </w:pPr>
      <w:r>
        <w:t xml:space="preserve">Following the 5-4 decision in </w:t>
      </w:r>
      <w:r w:rsidRPr="00F75190">
        <w:rPr>
          <w:i/>
        </w:rPr>
        <w:t>Alden v. Maine</w:t>
      </w:r>
      <w:r>
        <w:t xml:space="preserve">, the Court, usually by the same 5-4 alignment, proceeded to strike down a series of federal statutes on the basis that they constituted undue intrusions into state sovereign immunity. These cases are set out under the heading </w:t>
      </w:r>
      <w:r w:rsidRPr="00EB20BE">
        <w:rPr>
          <w:i/>
        </w:rPr>
        <w:t>Alden v. Maine: Notes</w:t>
      </w:r>
      <w:r>
        <w:rPr>
          <w:i/>
        </w:rPr>
        <w:t xml:space="preserve"> </w:t>
      </w:r>
      <w:r>
        <w:t>with the supplemental materials posted on conlawincontext.com. The theme dominating these cases is that the Court’s current conception of sovereign immunity will nullify any statute applying to a state that is based only on Article I, § 8 powers (usually the Commerce Clause). However, if a statute can be based on § 5 of the 14</w:t>
      </w:r>
      <w:r w:rsidRPr="00AF626C">
        <w:rPr>
          <w:vertAlign w:val="superscript"/>
        </w:rPr>
        <w:t>th</w:t>
      </w:r>
      <w:r>
        <w:t xml:space="preserve"> Amendment, §5 overcomes the </w:t>
      </w:r>
      <w:r w:rsidRPr="00AF626C">
        <w:rPr>
          <w:i/>
        </w:rPr>
        <w:t>Alden v. Maine</w:t>
      </w:r>
      <w:r>
        <w:t xml:space="preserve"> conception of state sovereign immunity. However, §5 is valid only for those groups or individuals asserting rights that the Court has recognized as entitled to heightened scrutiny under §1. For example, since the handicapped are not entitled to heightened scrutiny under the Equal Protection Clause, a statute making a state liable for discrimination against the handicapped is unconstitutional. See </w:t>
      </w:r>
      <w:r>
        <w:rPr>
          <w:i/>
        </w:rPr>
        <w:t>Board of Trustees of the University of Alabama v. Garrett</w:t>
      </w:r>
      <w:r>
        <w:t xml:space="preserve"> (2001), which extended </w:t>
      </w:r>
      <w:r>
        <w:rPr>
          <w:i/>
        </w:rPr>
        <w:t>Alden</w:t>
      </w:r>
      <w:r>
        <w:t xml:space="preserve"> immunity to claims brought in state court pursuant to the federal Americans With Disabilities Act (ADA) (posted on conlawincontext.com). In contrast, a state could be liable under a different provision of the Americans With Disabilities Act (ADA) for denying a litigant access to justice when there was no elevator for a handicapped litigant to gain access to a courtroom. The difference lay in the fact that the denial of access to justice receives heightened scrutiny under current law. See </w:t>
      </w:r>
      <w:r w:rsidRPr="00F75190">
        <w:rPr>
          <w:i/>
        </w:rPr>
        <w:t>Tennessee v. Lane</w:t>
      </w:r>
      <w:r>
        <w:t xml:space="preserve"> (2004) (posted on conlawincontext.com).</w:t>
      </w:r>
    </w:p>
    <w:p w14:paraId="16C146A6" w14:textId="02D7E96A" w:rsidR="00BA4FC4" w:rsidRDefault="00BA4FC4" w:rsidP="00BA4FC4">
      <w:pPr>
        <w:shd w:val="clear" w:color="auto" w:fill="FFFFFF"/>
        <w:rPr>
          <w:color w:val="000000"/>
          <w:shd w:val="clear" w:color="auto" w:fill="FFFFFF"/>
        </w:rPr>
      </w:pPr>
      <w:r>
        <w:tab/>
        <w:t xml:space="preserve">In 2019, the Court reaffirmed this commitment to a comprehensive notion of state sovereignty. In </w:t>
      </w:r>
      <w:r w:rsidRPr="001965AD">
        <w:rPr>
          <w:rFonts w:cs="Arial"/>
          <w:i/>
          <w:iCs/>
          <w:color w:val="000000"/>
          <w:kern w:val="36"/>
          <w:szCs w:val="24"/>
          <w:lang w:val="en"/>
        </w:rPr>
        <w:t>Franchise Tax Board of California v. Hyatt</w:t>
      </w:r>
      <w:r>
        <w:rPr>
          <w:rFonts w:cs="Arial"/>
          <w:iCs/>
          <w:color w:val="000000"/>
          <w:kern w:val="36"/>
          <w:szCs w:val="24"/>
          <w:lang w:val="en"/>
        </w:rPr>
        <w:t>, the Court ruled that a constitutional commitment to state sovereign immunity precluded an individual from suing a foreign state in state court</w:t>
      </w:r>
      <w:r w:rsidRPr="001965AD">
        <w:rPr>
          <w:rFonts w:cs="Arial"/>
          <w:color w:val="222222"/>
          <w:szCs w:val="24"/>
        </w:rPr>
        <w:t xml:space="preserve"> </w:t>
      </w:r>
      <w:r>
        <w:rPr>
          <w:rFonts w:cs="Arial"/>
          <w:color w:val="222222"/>
          <w:szCs w:val="24"/>
        </w:rPr>
        <w:t xml:space="preserve">on a state cause of action. The case was significant primarily because the court, in an opinion by Justice Thomas, joined by Roberts, C.J., and Alito, Gorsuch, and Kavanaugh, JJ., </w:t>
      </w:r>
      <w:r>
        <w:rPr>
          <w:rFonts w:cs="Arial"/>
          <w:color w:val="222222"/>
          <w:szCs w:val="24"/>
        </w:rPr>
        <w:lastRenderedPageBreak/>
        <w:t xml:space="preserve">overruled </w:t>
      </w:r>
      <w:r w:rsidRPr="00127D4C">
        <w:rPr>
          <w:i/>
        </w:rPr>
        <w:t>Nevada v. Hall</w:t>
      </w:r>
      <w:r>
        <w:t xml:space="preserve"> (1979). In </w:t>
      </w:r>
      <w:r w:rsidRPr="00EA2FDD">
        <w:rPr>
          <w:i/>
        </w:rPr>
        <w:t>Hall</w:t>
      </w:r>
      <w:r>
        <w:t>, the Court had reached the opposite conclusion by a 6-3 vote. Justice Thomas said:</w:t>
      </w:r>
      <w:r w:rsidRPr="00B82F12">
        <w:t xml:space="preserve"> “</w:t>
      </w:r>
      <w:r w:rsidRPr="00B82F12">
        <w:rPr>
          <w:i/>
          <w:iCs/>
          <w:color w:val="000000"/>
          <w:shd w:val="clear" w:color="auto" w:fill="FFFFFF"/>
        </w:rPr>
        <w:t>Stare decisis</w:t>
      </w:r>
      <w:r w:rsidRPr="00B82F12">
        <w:rPr>
          <w:color w:val="000000"/>
          <w:shd w:val="clear" w:color="auto" w:fill="FFFFFF"/>
        </w:rPr>
        <w:t xml:space="preserve"> does not compel continued adherence to this erroneous precedent. … </w:t>
      </w:r>
      <w:r w:rsidRPr="00B82F12">
        <w:rPr>
          <w:i/>
          <w:iCs/>
          <w:color w:val="000000"/>
          <w:shd w:val="clear" w:color="auto" w:fill="FFFFFF"/>
        </w:rPr>
        <w:t>Hall</w:t>
      </w:r>
      <w:r w:rsidRPr="00B82F12">
        <w:rPr>
          <w:color w:val="000000"/>
          <w:shd w:val="clear" w:color="auto" w:fill="FFFFFF"/>
        </w:rPr>
        <w:t xml:space="preserve"> failed to account for the historical understanding of state sovereign immunity and … it</w:t>
      </w:r>
      <w:r w:rsidRPr="00B82F12">
        <w:rPr>
          <w:i/>
          <w:iCs/>
          <w:color w:val="000000"/>
          <w:shd w:val="clear" w:color="auto" w:fill="FFFFFF"/>
        </w:rPr>
        <w:t xml:space="preserve"> </w:t>
      </w:r>
      <w:r w:rsidRPr="00B82F12">
        <w:rPr>
          <w:color w:val="000000"/>
          <w:shd w:val="clear" w:color="auto" w:fill="FFFFFF"/>
        </w:rPr>
        <w:t xml:space="preserve">failed to consider how the deprivation of traditional diplomatic tools reordered the States’ relationships with one another. … </w:t>
      </w:r>
      <w:r w:rsidRPr="00B82F12">
        <w:rPr>
          <w:i/>
          <w:iCs/>
          <w:color w:val="000000"/>
          <w:shd w:val="clear" w:color="auto" w:fill="FFFFFF"/>
        </w:rPr>
        <w:t>Hall</w:t>
      </w:r>
      <w:r>
        <w:rPr>
          <w:i/>
          <w:iCs/>
          <w:color w:val="000000"/>
          <w:shd w:val="clear" w:color="auto" w:fill="FFFFFF"/>
        </w:rPr>
        <w:t xml:space="preserve"> </w:t>
      </w:r>
      <w:r w:rsidRPr="00B82F12">
        <w:rPr>
          <w:color w:val="000000"/>
          <w:shd w:val="clear" w:color="auto" w:fill="FFFFFF"/>
        </w:rPr>
        <w:t>stands as an outlier in our sovereign-immunity jurisprudence, particularly when compared to more recent decisions.</w:t>
      </w:r>
      <w:r>
        <w:rPr>
          <w:color w:val="000000"/>
          <w:shd w:val="clear" w:color="auto" w:fill="FFFFFF"/>
        </w:rPr>
        <w:t>”</w:t>
      </w:r>
    </w:p>
    <w:p w14:paraId="0FC0168A" w14:textId="30223D4F" w:rsidR="00BA4FC4" w:rsidRDefault="00BA4FC4" w:rsidP="00BA4FC4">
      <w:pPr>
        <w:ind w:firstLine="720"/>
        <w:rPr>
          <w:color w:val="222222"/>
          <w:szCs w:val="24"/>
          <w:shd w:val="clear" w:color="auto" w:fill="FFFFFF"/>
        </w:rPr>
      </w:pPr>
      <w:r>
        <w:t>Justice Breyer, in an opinion joined by Ginsburg, Sotomayor</w:t>
      </w:r>
      <w:r w:rsidRPr="00C21860">
        <w:t>, and Kagan, JJ., harshly criticized the majority’s rejection of stare decisis:</w:t>
      </w:r>
      <w:r w:rsidRPr="00C21860">
        <w:rPr>
          <w:szCs w:val="24"/>
        </w:rPr>
        <w:t xml:space="preserve"> “</w:t>
      </w:r>
      <w:r w:rsidRPr="00C21860">
        <w:rPr>
          <w:color w:val="222222"/>
          <w:szCs w:val="24"/>
          <w:shd w:val="clear" w:color="auto" w:fill="FFFFFF"/>
        </w:rPr>
        <w:t>To overrule a sound decision like</w:t>
      </w:r>
      <w:r>
        <w:rPr>
          <w:color w:val="222222"/>
          <w:szCs w:val="24"/>
          <w:shd w:val="clear" w:color="auto" w:fill="FFFFFF"/>
        </w:rPr>
        <w:t xml:space="preserve"> </w:t>
      </w:r>
      <w:r w:rsidRPr="00C21860">
        <w:rPr>
          <w:i/>
          <w:iCs/>
          <w:color w:val="222222"/>
          <w:szCs w:val="24"/>
          <w:shd w:val="clear" w:color="auto" w:fill="FFFFFF"/>
        </w:rPr>
        <w:t>Hall</w:t>
      </w:r>
      <w:r>
        <w:rPr>
          <w:color w:val="222222"/>
          <w:szCs w:val="24"/>
          <w:shd w:val="clear" w:color="auto" w:fill="FFFFFF"/>
        </w:rPr>
        <w:t xml:space="preserve"> </w:t>
      </w:r>
      <w:r w:rsidRPr="00C21860">
        <w:rPr>
          <w:color w:val="222222"/>
          <w:szCs w:val="24"/>
          <w:shd w:val="clear" w:color="auto" w:fill="FFFFFF"/>
        </w:rPr>
        <w:t>is to encourage litigants to seek to overrule other cases; it is to make it more difficult for lawyers to refrain from challenging settled law; and it is to cause the public to become increasingly uncertain about which cases the court will overrule and which cases are here to stay.</w:t>
      </w:r>
      <w:r>
        <w:rPr>
          <w:color w:val="222222"/>
          <w:szCs w:val="24"/>
          <w:shd w:val="clear" w:color="auto" w:fill="FFFFFF"/>
        </w:rPr>
        <w:t>”</w:t>
      </w:r>
    </w:p>
    <w:p w14:paraId="572D6381" w14:textId="2C96C337" w:rsidR="00BA4FC4" w:rsidRDefault="00BA4FC4" w:rsidP="00BA4FC4">
      <w:pPr>
        <w:rPr>
          <w:szCs w:val="24"/>
        </w:rPr>
      </w:pPr>
      <w:r>
        <w:rPr>
          <w:szCs w:val="24"/>
        </w:rPr>
        <w:tab/>
        <w:t xml:space="preserve">In </w:t>
      </w:r>
      <w:r w:rsidRPr="00C21860">
        <w:rPr>
          <w:i/>
          <w:szCs w:val="24"/>
        </w:rPr>
        <w:t>Gamble v. United States</w:t>
      </w:r>
      <w:r>
        <w:rPr>
          <w:i/>
          <w:szCs w:val="24"/>
        </w:rPr>
        <w:t xml:space="preserve"> </w:t>
      </w:r>
      <w:r>
        <w:rPr>
          <w:szCs w:val="24"/>
        </w:rPr>
        <w:t xml:space="preserve">(2019), the Court reaffirmed the fact that states have a sovereign right to try criminals under state law, </w:t>
      </w:r>
      <w:proofErr w:type="gramStart"/>
      <w:r>
        <w:rPr>
          <w:szCs w:val="24"/>
        </w:rPr>
        <w:t>whether or not</w:t>
      </w:r>
      <w:proofErr w:type="gramEnd"/>
      <w:r>
        <w:rPr>
          <w:szCs w:val="24"/>
        </w:rPr>
        <w:t xml:space="preserve"> the criminal has been tried for a violation of federal law for the same conduct (the dual sovereignty doctrine). In a majority opinion by Justice Alito, joined by Roberts, C.J., and Thomas, Ginsburg, Breyer, Sotomayor, Kagan, and Kavanaugh, JJ., the Court ruled that the Double Jeopardy Clause was not implicated by trials in two different sovereign jurisdictions. Justices Ginsburg and Gorsuch each wrote dissents, contending that the threat of multiple prosecutions for the same conduct lay at the heart of the Double Jeopardy Clause and should be honored in this context.  </w:t>
      </w:r>
    </w:p>
    <w:p w14:paraId="034F2E9F" w14:textId="77777777" w:rsidR="00BA4FC4" w:rsidRPr="00C21860" w:rsidRDefault="00BA4FC4" w:rsidP="00BA4FC4">
      <w:pPr>
        <w:ind w:firstLine="720"/>
        <w:rPr>
          <w:szCs w:val="24"/>
        </w:rPr>
      </w:pPr>
      <w:r>
        <w:rPr>
          <w:szCs w:val="24"/>
        </w:rPr>
        <w:t>This case had drawn attention because of the possibility that a contrary result could have allowed a Donald Trump pardon of his former campaign manager Paul Manafort effectively to immunize Manafort from punishment for some of his various crimes. Manafort, who had been convicted in federal court of various financial crimes during the Mueller investigation, faces the possibility of state charges for the conduct that was the basis of his federal convictions (as well as other possible state charges). If pardoned, Manafort might have then escaped state prosecution for the alleged violations of some state laws.</w:t>
      </w:r>
    </w:p>
    <w:p w14:paraId="2703917B" w14:textId="77777777" w:rsidR="00BA4FC4" w:rsidRPr="00D709CD" w:rsidRDefault="00BA4FC4" w:rsidP="00BA4FC4">
      <w:pPr>
        <w:autoSpaceDE w:val="0"/>
        <w:autoSpaceDN w:val="0"/>
        <w:adjustRightInd w:val="0"/>
        <w:rPr>
          <w:rFonts w:cs="Times New Roman"/>
          <w:color w:val="212121"/>
          <w:szCs w:val="24"/>
        </w:rPr>
      </w:pPr>
    </w:p>
    <w:p w14:paraId="423C1920" w14:textId="33562191" w:rsidR="000B464B" w:rsidRDefault="00C3741F">
      <w:pPr>
        <w:rPr>
          <w:rFonts w:cs="Times New Roman"/>
          <w:szCs w:val="24"/>
        </w:rPr>
      </w:pPr>
      <w:r>
        <w:rPr>
          <w:rFonts w:cs="Times New Roman"/>
          <w:szCs w:val="24"/>
        </w:rPr>
        <w:br w:type="page"/>
      </w:r>
      <w:r w:rsidR="000B464B">
        <w:rPr>
          <w:rFonts w:cs="Times New Roman"/>
          <w:szCs w:val="24"/>
        </w:rPr>
        <w:lastRenderedPageBreak/>
        <w:br w:type="page"/>
      </w:r>
    </w:p>
    <w:p w14:paraId="485D883B" w14:textId="6E71928F" w:rsidR="000B464B" w:rsidRPr="00EF32E3" w:rsidRDefault="000B464B" w:rsidP="000234D3">
      <w:pPr>
        <w:pStyle w:val="Heading1"/>
      </w:pPr>
      <w:bookmarkStart w:id="14" w:name="_Toc16886240"/>
      <w:r w:rsidRPr="00EF32E3">
        <w:lastRenderedPageBreak/>
        <w:t>Chapter 4</w:t>
      </w:r>
      <w:r w:rsidR="000234D3">
        <w:t>.</w:t>
      </w:r>
      <w:r w:rsidRPr="00EF32E3">
        <w:t xml:space="preserve"> Powers and Limits of the Federal Courts. Part VII</w:t>
      </w:r>
      <w:r w:rsidR="007542A0">
        <w:t>-B</w:t>
      </w:r>
      <w:r w:rsidRPr="00EF32E3">
        <w:t xml:space="preserve">, </w:t>
      </w:r>
      <w:r w:rsidR="007542A0">
        <w:t>Political Questions</w:t>
      </w:r>
      <w:r w:rsidRPr="00EF32E3">
        <w:t>.</w:t>
      </w:r>
      <w:bookmarkEnd w:id="14"/>
    </w:p>
    <w:p w14:paraId="4740282F" w14:textId="00A672D7" w:rsidR="00B42F0F" w:rsidRDefault="000B464B" w:rsidP="000B464B">
      <w:r>
        <w:t>When studying Political Questions (page 290</w:t>
      </w:r>
      <w:r w:rsidR="00A90123">
        <w:t xml:space="preserve"> of text</w:t>
      </w:r>
      <w:r>
        <w:t xml:space="preserve">), be sure to review </w:t>
      </w:r>
      <w:proofErr w:type="spellStart"/>
      <w:r w:rsidRPr="00EF32E3">
        <w:rPr>
          <w:i/>
        </w:rPr>
        <w:t>Rucho</w:t>
      </w:r>
      <w:proofErr w:type="spellEnd"/>
      <w:r w:rsidRPr="00EF32E3">
        <w:rPr>
          <w:i/>
        </w:rPr>
        <w:t xml:space="preserve"> v. Common Cause </w:t>
      </w:r>
      <w:r>
        <w:t xml:space="preserve">(2019), located at page </w:t>
      </w:r>
      <w:r w:rsidR="000F47FF">
        <w:t>45</w:t>
      </w:r>
      <w:r>
        <w:t xml:space="preserve"> of this supplement (in Equal Protection chapter on Voting Rights.) </w:t>
      </w:r>
      <w:r w:rsidR="00A90123">
        <w:t>T</w:t>
      </w:r>
      <w:r>
        <w:t xml:space="preserve">he </w:t>
      </w:r>
      <w:proofErr w:type="spellStart"/>
      <w:r w:rsidR="00A90123" w:rsidRPr="00A90123">
        <w:rPr>
          <w:i/>
        </w:rPr>
        <w:t>Rucho</w:t>
      </w:r>
      <w:proofErr w:type="spellEnd"/>
      <w:r w:rsidR="00A90123">
        <w:rPr>
          <w:i/>
        </w:rPr>
        <w:t xml:space="preserve"> </w:t>
      </w:r>
      <w:r>
        <w:t>Court, in a 5-4 decision, ruled that challenges to political gerrymandering are non-justiciable, as they present a political question.</w:t>
      </w:r>
      <w:r w:rsidR="002508F5">
        <w:t xml:space="preserve"> It </w:t>
      </w:r>
      <w:r w:rsidR="00064732">
        <w:t>expla</w:t>
      </w:r>
      <w:r w:rsidR="003D500A">
        <w:t>i</w:t>
      </w:r>
      <w:r w:rsidR="00064732">
        <w:t>ned</w:t>
      </w:r>
      <w:r w:rsidR="002508F5">
        <w:t xml:space="preserve"> that </w:t>
      </w:r>
      <w:r w:rsidR="00064732">
        <w:t xml:space="preserve">some degree of line drawing for </w:t>
      </w:r>
      <w:r w:rsidR="0008391B">
        <w:t xml:space="preserve">partisan </w:t>
      </w:r>
      <w:r w:rsidR="002508F5">
        <w:t>political</w:t>
      </w:r>
      <w:r w:rsidR="00064732">
        <w:t xml:space="preserve"> purposes is </w:t>
      </w:r>
      <w:r w:rsidR="002508F5">
        <w:t>“permissible</w:t>
      </w:r>
      <w:r w:rsidR="00064732">
        <w:t>,</w:t>
      </w:r>
      <w:r w:rsidR="004817BA">
        <w:t>"</w:t>
      </w:r>
      <w:r w:rsidR="00064732">
        <w:t xml:space="preserve"> and </w:t>
      </w:r>
      <w:r w:rsidR="0008391B">
        <w:t xml:space="preserve">that </w:t>
      </w:r>
      <w:r w:rsidR="00064732">
        <w:t xml:space="preserve">there is no judicially manageable </w:t>
      </w:r>
      <w:r w:rsidR="0008391B">
        <w:t xml:space="preserve">test </w:t>
      </w:r>
      <w:r w:rsidR="00064732">
        <w:t xml:space="preserve"> to distinguish </w:t>
      </w:r>
      <w:r w:rsidR="0008391B">
        <w:t xml:space="preserve">how much partisanship in drawing lines is too much.  </w:t>
      </w:r>
    </w:p>
    <w:p w14:paraId="27067CF5" w14:textId="77777777" w:rsidR="00B42F0F" w:rsidRDefault="00B42F0F">
      <w:r>
        <w:br w:type="page"/>
      </w:r>
    </w:p>
    <w:p w14:paraId="3264C6E4" w14:textId="77777777" w:rsidR="000B464B" w:rsidRDefault="000B464B" w:rsidP="000B464B"/>
    <w:p w14:paraId="0A5287ED" w14:textId="08A06D4F" w:rsidR="00A90123" w:rsidRDefault="00A90123">
      <w:pPr>
        <w:rPr>
          <w:rFonts w:eastAsiaTheme="majorEastAsia" w:cs="Times New Roman"/>
          <w:b/>
          <w:bCs/>
          <w:szCs w:val="24"/>
        </w:rPr>
      </w:pPr>
      <w:r>
        <w:rPr>
          <w:rFonts w:eastAsiaTheme="majorEastAsia" w:cs="Times New Roman"/>
          <w:b/>
          <w:bCs/>
          <w:szCs w:val="24"/>
        </w:rPr>
        <w:br w:type="page"/>
      </w:r>
    </w:p>
    <w:p w14:paraId="7A8A5F07" w14:textId="0DEE417E" w:rsidR="00675288" w:rsidRDefault="00675288" w:rsidP="00675288">
      <w:pPr>
        <w:pStyle w:val="Heading1"/>
        <w:rPr>
          <w:rFonts w:cs="Times New Roman"/>
          <w:szCs w:val="24"/>
        </w:rPr>
      </w:pPr>
      <w:bookmarkStart w:id="15" w:name="_Toc16886241"/>
      <w:r w:rsidRPr="00B96CAA">
        <w:rPr>
          <w:rFonts w:cs="Times New Roman"/>
          <w:szCs w:val="24"/>
        </w:rPr>
        <w:lastRenderedPageBreak/>
        <w:t>Chapter 5. The Role of the President</w:t>
      </w:r>
      <w:bookmarkEnd w:id="3"/>
      <w:bookmarkEnd w:id="4"/>
      <w:bookmarkEnd w:id="5"/>
      <w:bookmarkEnd w:id="6"/>
      <w:bookmarkEnd w:id="7"/>
      <w:bookmarkEnd w:id="8"/>
      <w:bookmarkEnd w:id="9"/>
      <w:r w:rsidR="007201FD" w:rsidRPr="00B96CAA">
        <w:rPr>
          <w:rFonts w:cs="Times New Roman"/>
          <w:szCs w:val="24"/>
        </w:rPr>
        <w:t>.</w:t>
      </w:r>
      <w:r w:rsidRPr="00B96CAA">
        <w:rPr>
          <w:rFonts w:cs="Times New Roman"/>
          <w:szCs w:val="24"/>
        </w:rPr>
        <w:t xml:space="preserve"> </w:t>
      </w:r>
      <w:bookmarkStart w:id="16" w:name="_Toc427688055"/>
      <w:bookmarkStart w:id="17" w:name="_Toc459128201"/>
      <w:bookmarkStart w:id="18" w:name="_Toc490745374"/>
      <w:r w:rsidRPr="00B96CAA">
        <w:rPr>
          <w:rFonts w:cs="Times New Roman"/>
          <w:szCs w:val="24"/>
        </w:rPr>
        <w:t>Section I</w:t>
      </w:r>
      <w:r w:rsidR="007201FD" w:rsidRPr="00B96CAA">
        <w:rPr>
          <w:rFonts w:cs="Times New Roman"/>
          <w:szCs w:val="24"/>
        </w:rPr>
        <w:t>,</w:t>
      </w:r>
      <w:r w:rsidRPr="00B96CAA">
        <w:rPr>
          <w:rFonts w:cs="Times New Roman"/>
          <w:szCs w:val="24"/>
        </w:rPr>
        <w:t xml:space="preserve"> The Scope of Executive Power</w:t>
      </w:r>
      <w:bookmarkEnd w:id="16"/>
      <w:bookmarkEnd w:id="17"/>
      <w:bookmarkEnd w:id="18"/>
      <w:bookmarkEnd w:id="15"/>
    </w:p>
    <w:p w14:paraId="0C4A0399" w14:textId="2E3C6096" w:rsidR="000E5A41" w:rsidRPr="00B96CAA" w:rsidRDefault="000E5A41" w:rsidP="000E5A41">
      <w:pPr>
        <w:rPr>
          <w:rFonts w:cs="Times New Roman"/>
          <w:szCs w:val="24"/>
        </w:rPr>
      </w:pPr>
      <w:r w:rsidRPr="00B96CAA">
        <w:rPr>
          <w:rFonts w:cs="Times New Roman"/>
          <w:szCs w:val="24"/>
        </w:rPr>
        <w:t>[</w:t>
      </w:r>
      <w:r w:rsidRPr="00B96CAA">
        <w:rPr>
          <w:rFonts w:cs="Times New Roman"/>
          <w:i/>
          <w:szCs w:val="24"/>
        </w:rPr>
        <w:t>Insert on page 3</w:t>
      </w:r>
      <w:r>
        <w:rPr>
          <w:rFonts w:cs="Times New Roman"/>
          <w:i/>
          <w:szCs w:val="24"/>
        </w:rPr>
        <w:t>29, replacing current note.</w:t>
      </w:r>
    </w:p>
    <w:p w14:paraId="1B5312DA" w14:textId="77777777" w:rsidR="000E5A41" w:rsidRPr="00E27670" w:rsidRDefault="000E5A41" w:rsidP="006C08C8">
      <w:pPr>
        <w:pStyle w:val="Heading2"/>
        <w:jc w:val="center"/>
      </w:pPr>
      <w:bookmarkStart w:id="19" w:name="_Toc485985244"/>
      <w:bookmarkStart w:id="20" w:name="_Toc16886242"/>
      <w:r w:rsidRPr="00E27670">
        <w:t>I. The Scope of Executive Power</w:t>
      </w:r>
      <w:bookmarkEnd w:id="19"/>
      <w:bookmarkEnd w:id="20"/>
    </w:p>
    <w:p w14:paraId="5D06E813" w14:textId="77777777" w:rsidR="000E5A41" w:rsidRPr="00E27670"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Cs w:val="24"/>
        </w:rPr>
      </w:pPr>
      <w:r w:rsidRPr="00E27670">
        <w:rPr>
          <w:b/>
          <w:bCs/>
          <w:szCs w:val="24"/>
        </w:rPr>
        <w:tab/>
      </w:r>
      <w:r w:rsidRPr="00E27670">
        <w:rPr>
          <w:szCs w:val="24"/>
        </w:rPr>
        <w:t xml:space="preserve">The federal government is generally one of enumerated powers. Congress has those powers given it by Article I, and the judiciary has those powers given it by Article III. The President (and executive agencies) similarly have those powers bestowed by Article II. It is common wisdom that the legislature enacts statutes and that the executive branch implements and enforces them. However, the apparent simplicity of this description of the executive function dissolves into ambiguity when one tries to apply it to many </w:t>
      </w:r>
      <w:proofErr w:type="gramStart"/>
      <w:r w:rsidRPr="00E27670">
        <w:rPr>
          <w:szCs w:val="24"/>
        </w:rPr>
        <w:t>real world</w:t>
      </w:r>
      <w:proofErr w:type="gramEnd"/>
      <w:r w:rsidRPr="00E27670">
        <w:rPr>
          <w:szCs w:val="24"/>
        </w:rPr>
        <w:t xml:space="preserve"> situations.</w:t>
      </w:r>
    </w:p>
    <w:p w14:paraId="6D01F831" w14:textId="77777777" w:rsidR="000E5A41" w:rsidRPr="00E27670"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szCs w:val="24"/>
        </w:rPr>
      </w:pPr>
      <w:r w:rsidRPr="00E27670">
        <w:rPr>
          <w:szCs w:val="24"/>
        </w:rPr>
        <w:t xml:space="preserve">The Constitution gives the President no specific power to make laws. Rather, Article II, Section 3 provides that “he shall take Care that the Laws be faithfully executed.” Article II, Section 3 also states that the President shall recommend for Congress’s consideration “such Measures as he shall judge necessary and expedient.” The President’s annual State of the Union address is the most public occasion for presidential proposals for legislation, although the president may recommend legislation at any time. The President delivers this address in response to the provision of Article II, Section 3 that the President “shall from time to time give to the Congress Information of the State of the Union.” During the past century, Presidents by custom have personally presented their message to a session of both houses of Congress in early January. In earlier years, presidents sent a written statement to Congress. The President also may call Congress into special session at any time (Article II, Section 3), a power that usually has been invoked </w:t>
      </w:r>
      <w:proofErr w:type="gramStart"/>
      <w:r w:rsidRPr="00E27670">
        <w:rPr>
          <w:szCs w:val="24"/>
        </w:rPr>
        <w:t>for the purpose of</w:t>
      </w:r>
      <w:proofErr w:type="gramEnd"/>
      <w:r w:rsidRPr="00E27670">
        <w:rPr>
          <w:szCs w:val="24"/>
        </w:rPr>
        <w:t xml:space="preserve"> recommending special legislation. In addition to convening in special sessions, Congress – pursuant to the terms of the Twentieth Amendment (1933) – assembles every year on January 3, unless Congress appoints a different day. </w:t>
      </w:r>
      <w:r w:rsidRPr="00E27670">
        <w:rPr>
          <w:szCs w:val="24"/>
        </w:rPr>
        <w:tab/>
      </w:r>
    </w:p>
    <w:p w14:paraId="7F9B6117" w14:textId="77777777" w:rsidR="000E5A41" w:rsidRPr="00E27670"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Cs w:val="24"/>
        </w:rPr>
      </w:pPr>
      <w:r w:rsidRPr="00E27670">
        <w:rPr>
          <w:szCs w:val="24"/>
        </w:rPr>
        <w:tab/>
        <w:t>Activist presidents often have proposed significant legislation. For example, Franklin D. Roosevelt’s administration at the height of the New Deal in 1933-35 was the source of many far-reaching statutes such as the Social Security Act and the federal securities laws. Similarly, Lyndon B. Johnson’s administration proposed much of the Great Society legislation of 1965-67, including Medicare.</w:t>
      </w:r>
    </w:p>
    <w:p w14:paraId="06E8A1C6" w14:textId="77777777" w:rsidR="000E5A41" w:rsidRPr="00E27670"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Cs w:val="24"/>
        </w:rPr>
      </w:pPr>
      <w:r w:rsidRPr="00E27670">
        <w:rPr>
          <w:szCs w:val="24"/>
        </w:rPr>
        <w:tab/>
        <w:t xml:space="preserve">The President has the power to veto any bill passed by Congress. Congress may override this veto, however, through a two-thirds vote of both Houses of Congress. (Article I, Section 7). If the President does not veto the bill within ten days, it becomes law unless Congress adjourns within ten days of the bill’s passage. In signing bills, presidents often issue so-called “signing statements” in which they comment about the legislation. Although Presidents have issued these for nearly two centuries, signing statements have become much more frequent during the past thirty years. In many of these signing statements, presidents have expressed constitutional or legal objections to at least parts of the bills. Signing statements also often offer guidance to executive agencies about how to implement parts of the legislation that the President regards as vague or unconstitutional. The Constitution does not mention signing statements and the Supreme Court has not addressed </w:t>
      </w:r>
      <w:r w:rsidRPr="00E27670">
        <w:rPr>
          <w:szCs w:val="24"/>
        </w:rPr>
        <w:lastRenderedPageBreak/>
        <w:t>their constitutionality. In 2006, a task force of the American Bar Association concluded that signing statements “undermine the rule of law and our constitutional system of separation of powers.”</w:t>
      </w:r>
    </w:p>
    <w:p w14:paraId="2592EA7E" w14:textId="77777777" w:rsidR="000E5A41" w:rsidRPr="00E27670"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Cs w:val="24"/>
        </w:rPr>
      </w:pPr>
      <w:r w:rsidRPr="00E27670">
        <w:rPr>
          <w:szCs w:val="24"/>
        </w:rPr>
        <w:tab/>
      </w:r>
      <w:r w:rsidRPr="00915EF3">
        <w:rPr>
          <w:b/>
          <w:szCs w:val="24"/>
        </w:rPr>
        <w:t>The “non-delegation doctrine.”</w:t>
      </w:r>
      <w:r>
        <w:rPr>
          <w:szCs w:val="24"/>
        </w:rPr>
        <w:t xml:space="preserve"> </w:t>
      </w:r>
      <w:r w:rsidRPr="00E27670">
        <w:rPr>
          <w:szCs w:val="24"/>
        </w:rPr>
        <w:t xml:space="preserve">Under the so-called “non-delegation doctrine,” Congress technically cannot delegate to the President any of its Article I powers. Congress often, however, delegates quasi-legislative power to the President by enacting legislation that grants the President broad latitude in administration of the law. Congress must, however, “lay down by legislative act an intelligible principle to which the person or body authorized to [act] is directed to conform.” </w:t>
      </w:r>
      <w:r w:rsidRPr="00E27670">
        <w:rPr>
          <w:i/>
          <w:iCs/>
          <w:szCs w:val="24"/>
        </w:rPr>
        <w:t>J.R. Hampton, Jr. &amp; Co. v. United States</w:t>
      </w:r>
      <w:r w:rsidRPr="00E27670">
        <w:rPr>
          <w:szCs w:val="24"/>
        </w:rPr>
        <w:t xml:space="preserve"> (1928). The scope for such delegation presumably is even broader in foreign relations than it is in domestic affairs. </w:t>
      </w:r>
      <w:r w:rsidRPr="00E27670">
        <w:rPr>
          <w:i/>
          <w:iCs/>
          <w:szCs w:val="24"/>
        </w:rPr>
        <w:t>See</w:t>
      </w:r>
      <w:r w:rsidRPr="00E27670">
        <w:rPr>
          <w:szCs w:val="24"/>
        </w:rPr>
        <w:t xml:space="preserve"> </w:t>
      </w:r>
      <w:r w:rsidRPr="00E27670">
        <w:rPr>
          <w:i/>
          <w:iCs/>
          <w:szCs w:val="24"/>
        </w:rPr>
        <w:t>United States v. Curtiss-Wright Export Corp.</w:t>
      </w:r>
      <w:r w:rsidRPr="00E27670">
        <w:rPr>
          <w:szCs w:val="24"/>
        </w:rPr>
        <w:t xml:space="preserve"> (1936). In </w:t>
      </w:r>
      <w:r w:rsidRPr="00E27670">
        <w:rPr>
          <w:i/>
          <w:iCs/>
          <w:szCs w:val="24"/>
        </w:rPr>
        <w:t>Schechter Poultry Corp. v. United States</w:t>
      </w:r>
      <w:r w:rsidRPr="00E27670">
        <w:rPr>
          <w:szCs w:val="24"/>
        </w:rPr>
        <w:t xml:space="preserve"> (1935), the Supreme Court nullified a law, the National Industrial Recovery Act of 1933, which gave the President virtually a blank check to make regulations for various industries </w:t>
      </w:r>
      <w:proofErr w:type="gramStart"/>
      <w:r w:rsidRPr="00E27670">
        <w:rPr>
          <w:szCs w:val="24"/>
        </w:rPr>
        <w:t>in an effort to</w:t>
      </w:r>
      <w:proofErr w:type="gramEnd"/>
      <w:r w:rsidRPr="00E27670">
        <w:rPr>
          <w:szCs w:val="24"/>
        </w:rPr>
        <w:t xml:space="preserve"> end the Great Depression. </w:t>
      </w:r>
      <w:r w:rsidRPr="00E27670">
        <w:rPr>
          <w:i/>
          <w:iCs/>
          <w:szCs w:val="24"/>
        </w:rPr>
        <w:t>Schechter</w:t>
      </w:r>
      <w:r w:rsidRPr="00E27670">
        <w:rPr>
          <w:szCs w:val="24"/>
        </w:rPr>
        <w:t xml:space="preserve"> and </w:t>
      </w:r>
      <w:r w:rsidRPr="00E27670">
        <w:rPr>
          <w:i/>
          <w:iCs/>
          <w:szCs w:val="24"/>
        </w:rPr>
        <w:t>Panama Refining Co. v. Ryan</w:t>
      </w:r>
      <w:r w:rsidRPr="00E27670">
        <w:rPr>
          <w:szCs w:val="24"/>
        </w:rPr>
        <w:t xml:space="preserve"> (1935), which struck down part of the same statute, are virtually the only cases in which the Court has held that Congress delegated too much power to the President.  </w:t>
      </w:r>
    </w:p>
    <w:p w14:paraId="103ABB25" w14:textId="77777777" w:rsidR="000E5A41" w:rsidRPr="00E27670"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Cs w:val="24"/>
        </w:rPr>
      </w:pPr>
      <w:r w:rsidRPr="00E27670">
        <w:rPr>
          <w:szCs w:val="24"/>
        </w:rPr>
        <w:tab/>
        <w:t>Indeed, since 1935, the Court has upheld very broad delegations of power to the executive agencies.  The Court requires that when Congress confers decision making authority upon agencies, “</w:t>
      </w:r>
      <w:r w:rsidRPr="00E27670">
        <w:rPr>
          <w:i/>
          <w:szCs w:val="24"/>
        </w:rPr>
        <w:t>Congress</w:t>
      </w:r>
      <w:r w:rsidRPr="00E27670">
        <w:rPr>
          <w:szCs w:val="24"/>
        </w:rPr>
        <w:t xml:space="preserve"> must ‘lay down by legislative act an intelligible principle to which [the agency deci</w:t>
      </w:r>
      <w:r>
        <w:rPr>
          <w:szCs w:val="24"/>
        </w:rPr>
        <w:t>si</w:t>
      </w:r>
      <w:r w:rsidRPr="00E27670">
        <w:rPr>
          <w:szCs w:val="24"/>
        </w:rPr>
        <w:t xml:space="preserve">onmaker] is directed to conform.’” </w:t>
      </w:r>
      <w:r w:rsidRPr="00E27670">
        <w:rPr>
          <w:i/>
          <w:szCs w:val="24"/>
        </w:rPr>
        <w:t xml:space="preserve">Whitman v. </w:t>
      </w:r>
      <w:proofErr w:type="spellStart"/>
      <w:r w:rsidRPr="00E27670">
        <w:rPr>
          <w:i/>
          <w:szCs w:val="24"/>
        </w:rPr>
        <w:t>Amercan</w:t>
      </w:r>
      <w:proofErr w:type="spellEnd"/>
      <w:r w:rsidRPr="00E27670">
        <w:rPr>
          <w:i/>
          <w:szCs w:val="24"/>
        </w:rPr>
        <w:t xml:space="preserve"> Trucking </w:t>
      </w:r>
      <w:proofErr w:type="spellStart"/>
      <w:r w:rsidRPr="00E27670">
        <w:rPr>
          <w:i/>
          <w:szCs w:val="24"/>
        </w:rPr>
        <w:t>Assocation</w:t>
      </w:r>
      <w:proofErr w:type="spellEnd"/>
      <w:r w:rsidRPr="00E27670">
        <w:rPr>
          <w:i/>
          <w:szCs w:val="24"/>
        </w:rPr>
        <w:t>, Inc.</w:t>
      </w:r>
      <w:r w:rsidRPr="00E27670">
        <w:rPr>
          <w:szCs w:val="24"/>
        </w:rPr>
        <w:t xml:space="preserve"> (2001).  In </w:t>
      </w:r>
      <w:proofErr w:type="gramStart"/>
      <w:r w:rsidRPr="00E27670">
        <w:rPr>
          <w:szCs w:val="24"/>
        </w:rPr>
        <w:t>a</w:t>
      </w:r>
      <w:r>
        <w:rPr>
          <w:szCs w:val="24"/>
        </w:rPr>
        <w:t xml:space="preserve"> number of</w:t>
      </w:r>
      <w:proofErr w:type="gramEnd"/>
      <w:r>
        <w:rPr>
          <w:szCs w:val="24"/>
        </w:rPr>
        <w:t xml:space="preserve"> cases, for example, </w:t>
      </w:r>
      <w:r w:rsidRPr="00E27670">
        <w:rPr>
          <w:szCs w:val="24"/>
        </w:rPr>
        <w:t xml:space="preserve">a charge to “regulate in the public interest” has been found sufficient. </w:t>
      </w:r>
    </w:p>
    <w:p w14:paraId="382A25FA" w14:textId="77777777" w:rsidR="000E5A41" w:rsidRPr="00DE17AC"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szCs w:val="24"/>
        </w:rPr>
      </w:pPr>
      <w:r w:rsidRPr="00E27670">
        <w:rPr>
          <w:szCs w:val="24"/>
        </w:rPr>
        <w:t xml:space="preserve">The orthodox and majority view is that Congress may not delegate legislative power and such directions to not do so.  The other realist view is that the power to legislate has been </w:t>
      </w:r>
      <w:proofErr w:type="gramStart"/>
      <w:r w:rsidRPr="00E27670">
        <w:rPr>
          <w:szCs w:val="24"/>
        </w:rPr>
        <w:t>delegated, but</w:t>
      </w:r>
      <w:proofErr w:type="gramEnd"/>
      <w:r w:rsidRPr="00E27670">
        <w:rPr>
          <w:szCs w:val="24"/>
        </w:rPr>
        <w:t xml:space="preserve"> may be upheld if adequately limited. </w:t>
      </w:r>
      <w:r w:rsidRPr="00E27670">
        <w:rPr>
          <w:i/>
          <w:szCs w:val="24"/>
        </w:rPr>
        <w:t xml:space="preserve">Whitman. </w:t>
      </w:r>
      <w:r w:rsidRPr="00E27670">
        <w:rPr>
          <w:szCs w:val="24"/>
        </w:rPr>
        <w:t xml:space="preserve">An edited version of </w:t>
      </w:r>
      <w:r w:rsidRPr="00E27670">
        <w:rPr>
          <w:i/>
          <w:szCs w:val="24"/>
        </w:rPr>
        <w:t>Whitman</w:t>
      </w:r>
      <w:r w:rsidRPr="00E27670">
        <w:rPr>
          <w:szCs w:val="24"/>
        </w:rPr>
        <w:t xml:space="preserve"> is </w:t>
      </w:r>
      <w:r>
        <w:rPr>
          <w:szCs w:val="24"/>
        </w:rPr>
        <w:t xml:space="preserve">posted with the supplemental materials </w:t>
      </w:r>
      <w:r w:rsidRPr="00E27670">
        <w:rPr>
          <w:szCs w:val="24"/>
        </w:rPr>
        <w:t xml:space="preserve">at </w:t>
      </w:r>
      <w:r w:rsidRPr="00DE17AC">
        <w:rPr>
          <w:szCs w:val="24"/>
        </w:rPr>
        <w:t>conlawincontext.com</w:t>
      </w:r>
    </w:p>
    <w:p w14:paraId="43FFAFC0" w14:textId="77777777" w:rsidR="000E5A41"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Cs w:val="24"/>
        </w:rPr>
      </w:pPr>
      <w:r w:rsidRPr="00E27670">
        <w:rPr>
          <w:szCs w:val="24"/>
        </w:rPr>
        <w:tab/>
        <w:t xml:space="preserve">The issue of delegation of power returned to public prominence in 2008, when some critics of the so-called “bank bailout” legislation, the Emergency Economic Stabilization Act, contended that the statute delegated too much power to the Treasury Department, to which the statute assigned broad discretion to purchase troubled assets from financial institutions. </w:t>
      </w:r>
    </w:p>
    <w:p w14:paraId="430640FA" w14:textId="77777777" w:rsidR="000E5A41" w:rsidRPr="00FE2964" w:rsidRDefault="000E5A41" w:rsidP="000E5A41">
      <w:pPr>
        <w:rPr>
          <w:szCs w:val="24"/>
        </w:rPr>
      </w:pPr>
      <w:r w:rsidRPr="00FE2964">
        <w:rPr>
          <w:szCs w:val="24"/>
        </w:rPr>
        <w:tab/>
        <w:t xml:space="preserve">In </w:t>
      </w:r>
      <w:r>
        <w:rPr>
          <w:szCs w:val="24"/>
        </w:rPr>
        <w:t xml:space="preserve">2019, in </w:t>
      </w:r>
      <w:r w:rsidRPr="00FE2964">
        <w:rPr>
          <w:szCs w:val="24"/>
        </w:rPr>
        <w:t xml:space="preserve">a significant case </w:t>
      </w:r>
      <w:r>
        <w:rPr>
          <w:szCs w:val="24"/>
        </w:rPr>
        <w:t xml:space="preserve">the Court </w:t>
      </w:r>
      <w:r w:rsidRPr="00FE2964">
        <w:rPr>
          <w:szCs w:val="24"/>
        </w:rPr>
        <w:t>re-affirm</w:t>
      </w:r>
      <w:r>
        <w:rPr>
          <w:szCs w:val="24"/>
        </w:rPr>
        <w:t>ed</w:t>
      </w:r>
      <w:r w:rsidRPr="00FE2964">
        <w:rPr>
          <w:szCs w:val="24"/>
        </w:rPr>
        <w:t xml:space="preserve"> the broad power of Congress to delegate authority to executive agencies</w:t>
      </w:r>
      <w:r>
        <w:rPr>
          <w:szCs w:val="24"/>
        </w:rPr>
        <w:t>.</w:t>
      </w:r>
      <w:r w:rsidRPr="00FE2964">
        <w:rPr>
          <w:szCs w:val="24"/>
        </w:rPr>
        <w:t xml:space="preserve"> </w:t>
      </w:r>
      <w:r>
        <w:rPr>
          <w:szCs w:val="24"/>
        </w:rPr>
        <w:t xml:space="preserve">In </w:t>
      </w:r>
      <w:r w:rsidRPr="00B749AA">
        <w:rPr>
          <w:i/>
          <w:szCs w:val="24"/>
        </w:rPr>
        <w:t>Gundy v. United States</w:t>
      </w:r>
      <w:r w:rsidRPr="00B749AA">
        <w:rPr>
          <w:szCs w:val="24"/>
        </w:rPr>
        <w:t xml:space="preserve"> </w:t>
      </w:r>
      <w:r w:rsidRPr="00B749AA">
        <w:rPr>
          <w:bCs/>
          <w:szCs w:val="24"/>
        </w:rPr>
        <w:t>(2019)</w:t>
      </w:r>
      <w:r>
        <w:rPr>
          <w:bCs/>
          <w:szCs w:val="24"/>
        </w:rPr>
        <w:t>,</w:t>
      </w:r>
      <w:r w:rsidRPr="00B749AA">
        <w:rPr>
          <w:bCs/>
          <w:szCs w:val="24"/>
        </w:rPr>
        <w:t xml:space="preserve"> </w:t>
      </w:r>
      <w:r w:rsidRPr="00FE2964">
        <w:rPr>
          <w:szCs w:val="24"/>
        </w:rPr>
        <w:t xml:space="preserve">the Court in a five to three decision held that Congress did not violate the non-delegation doctrine by conferring power on the Attorney General to promulgate rules involving the registration of sex offenders. The Court sustained provisions of the Sex Offender Registration and Notification Act (SORNA) that authorized the Attorney General to “specify the applicability” of SORNA’s registration requirements to persons who were convicted of sex crimes before the enactment of the statute </w:t>
      </w:r>
      <w:r w:rsidRPr="00FE2964">
        <w:rPr>
          <w:szCs w:val="24"/>
        </w:rPr>
        <w:lastRenderedPageBreak/>
        <w:t xml:space="preserve">and to prescribe rules for their registration. The plaintiff who challenged the statute had been convicted of a sex offense before its enactment and had failed to register as an offender pursuant to a rule promulgated by the Attorney General. </w:t>
      </w:r>
    </w:p>
    <w:p w14:paraId="61F783B2" w14:textId="77777777" w:rsidR="000E5A41" w:rsidRPr="00FE2964" w:rsidRDefault="000E5A41" w:rsidP="000E5A41">
      <w:pPr>
        <w:rPr>
          <w:szCs w:val="24"/>
        </w:rPr>
      </w:pPr>
      <w:r w:rsidRPr="00FE2964">
        <w:rPr>
          <w:szCs w:val="24"/>
        </w:rPr>
        <w:tab/>
        <w:t xml:space="preserve">Justice Kagan’s opinion for the Court explained that “a delegation is constitutional so long as Congress has set out an ‘intelligible principle’ to guide the delegee’s exercise of authority,” quoting </w:t>
      </w:r>
      <w:r w:rsidRPr="00FE2964">
        <w:rPr>
          <w:i/>
          <w:szCs w:val="24"/>
        </w:rPr>
        <w:t xml:space="preserve">J.W. Hampton, Jr. &amp; Co. v. United </w:t>
      </w:r>
      <w:r w:rsidRPr="00FE2964">
        <w:rPr>
          <w:szCs w:val="24"/>
        </w:rPr>
        <w:t xml:space="preserve">States (1928). “Or in a related formulation, the Court has stated that a delegation is permissible if Congress has made clear to the delegee ‘the general policy’ he must pursue and the ‘boundaries of [his] authority,’” quoting </w:t>
      </w:r>
      <w:r w:rsidRPr="00FE2964">
        <w:rPr>
          <w:i/>
          <w:szCs w:val="24"/>
        </w:rPr>
        <w:t>American Power &amp; Light Co. v. SEC</w:t>
      </w:r>
      <w:r w:rsidRPr="00FE2964">
        <w:rPr>
          <w:szCs w:val="24"/>
        </w:rPr>
        <w:t xml:space="preserve"> (1946). The Court observed that those standards “are not demanding” and that “we have over and over upheld even very broad delegations.” The Court similarly pointed out that it had “almost never felt qualified to second-guess Congress regarding the permissible degree of policy judgment that can be left to those executing or applying the law,” quoting </w:t>
      </w:r>
      <w:r w:rsidRPr="00FE2964">
        <w:rPr>
          <w:i/>
          <w:szCs w:val="24"/>
        </w:rPr>
        <w:t>Whitman v. American Trucking Associations, Inc.</w:t>
      </w:r>
      <w:r w:rsidRPr="00FE2964">
        <w:rPr>
          <w:szCs w:val="24"/>
        </w:rPr>
        <w:t xml:space="preserve"> (2001). Indeed, the Court pointed out that it had only twice “found a delegation excessive” -- in its two 1935 decisions concerning the National Industrial Recovery Act, </w:t>
      </w:r>
      <w:r w:rsidRPr="00FE2964">
        <w:rPr>
          <w:i/>
          <w:szCs w:val="24"/>
        </w:rPr>
        <w:t>Schechter Poultry Corp. v. United States</w:t>
      </w:r>
      <w:r w:rsidRPr="00FE2964">
        <w:rPr>
          <w:szCs w:val="24"/>
        </w:rPr>
        <w:t xml:space="preserve"> and </w:t>
      </w:r>
      <w:r w:rsidRPr="00FE2964">
        <w:rPr>
          <w:i/>
          <w:szCs w:val="24"/>
        </w:rPr>
        <w:t xml:space="preserve">Panama Refining Co. v. Ryan. </w:t>
      </w:r>
      <w:r w:rsidRPr="00FE2964">
        <w:rPr>
          <w:szCs w:val="24"/>
        </w:rPr>
        <w:t xml:space="preserve">Applying this standard, the Court denied that the statute provided the Attorney with “unguided” or “unchecked” authority. The Court found that the statute merely required the Attorney General to apply the statute to all pre-Act offenders as soon as feasible, which was “well within permissible bounds” of congressional delegation. The Court rejected the plaintiff’s contention that the statute provided the Attorney General with authority to determine </w:t>
      </w:r>
      <w:proofErr w:type="gramStart"/>
      <w:r w:rsidRPr="00FE2964">
        <w:rPr>
          <w:szCs w:val="24"/>
        </w:rPr>
        <w:t>whether or not</w:t>
      </w:r>
      <w:proofErr w:type="gramEnd"/>
      <w:r w:rsidRPr="00FE2964">
        <w:rPr>
          <w:szCs w:val="24"/>
        </w:rPr>
        <w:t xml:space="preserve"> to apply SORNA to pre-Act offenders. </w:t>
      </w:r>
    </w:p>
    <w:p w14:paraId="6F842B70" w14:textId="77777777" w:rsidR="000E5A41" w:rsidRPr="00FE2964" w:rsidRDefault="000E5A41" w:rsidP="000E5A41">
      <w:pPr>
        <w:rPr>
          <w:szCs w:val="24"/>
        </w:rPr>
      </w:pPr>
      <w:r w:rsidRPr="00FE2964">
        <w:rPr>
          <w:szCs w:val="24"/>
        </w:rPr>
        <w:tab/>
        <w:t>The Court declared that “if SORNA’s delegation is unconstitutional, then most of Government is unconstitutional” because Congress is “dependent…on the need to give discretion to executive officials to implement its programs.” The Court concluded that “[s]</w:t>
      </w:r>
      <w:proofErr w:type="spellStart"/>
      <w:r w:rsidRPr="00FE2964">
        <w:rPr>
          <w:szCs w:val="24"/>
        </w:rPr>
        <w:t>ince</w:t>
      </w:r>
      <w:proofErr w:type="spellEnd"/>
      <w:r w:rsidRPr="00FE2964">
        <w:rPr>
          <w:szCs w:val="24"/>
        </w:rPr>
        <w:t xml:space="preserve"> Congress is no less endowed with common sense than we are, and better equipped to inform itself of the ‘necessities’ of government; and since the factors bearing upon those necessities are both multifarious and (in the nonpartisan sense) highly political…it is small wonder that we have almost never felt qualified to second-guess Congress regarding the permissible degree of policy judgment that can be left to those executing or applying the law,” quoting </w:t>
      </w:r>
      <w:proofErr w:type="spellStart"/>
      <w:r w:rsidRPr="00FE2964">
        <w:rPr>
          <w:i/>
          <w:szCs w:val="24"/>
        </w:rPr>
        <w:t>Mistretta</w:t>
      </w:r>
      <w:proofErr w:type="spellEnd"/>
      <w:r w:rsidRPr="00FE2964">
        <w:rPr>
          <w:i/>
          <w:szCs w:val="24"/>
        </w:rPr>
        <w:t xml:space="preserve"> v. United States</w:t>
      </w:r>
      <w:r w:rsidRPr="00FE2964">
        <w:rPr>
          <w:szCs w:val="24"/>
        </w:rPr>
        <w:t xml:space="preserve"> (1989) (Scalia, J., dissenting). </w:t>
      </w:r>
    </w:p>
    <w:p w14:paraId="3C83577B" w14:textId="77777777" w:rsidR="000E5A41" w:rsidRPr="00FE2964" w:rsidRDefault="000E5A41" w:rsidP="000E5A41">
      <w:pPr>
        <w:rPr>
          <w:szCs w:val="24"/>
        </w:rPr>
      </w:pPr>
      <w:r w:rsidRPr="00FE2964">
        <w:rPr>
          <w:szCs w:val="24"/>
        </w:rPr>
        <w:tab/>
        <w:t xml:space="preserve">In a dissent joined by Chief Justice Roberts and Justice Thomas, Justice Gorsuch complained that SORNA “purports to endow the nation’s chief prosecutor with the power to write his own criminal code governing the lives of a half-million citizens. Yes, those affected are some of the least popular among us. But if a single executive branch official can write laws restricting the liberty of this group of persons, what does that mean for the next?” Gorsuch contended that the statute went far beyond leaving the Attorney General “with only details to dispatch” since he was “free to impose on 500,000 pre-Act offenders all of the statute’s requirements, some of them, or none of them.” Moreover, the Attorney General could decide which offenders were subject to the Act and could change his mind at any time or over the </w:t>
      </w:r>
      <w:r w:rsidRPr="00FE2964">
        <w:rPr>
          <w:szCs w:val="24"/>
        </w:rPr>
        <w:lastRenderedPageBreak/>
        <w:t xml:space="preserve">course of different political administrations. Indeed, Gorsuch found that different Attorneys General had “exercised their discretion in different ways.” He concluded that “there isn’t a single policy decision concerning pre-Act offenders on which Congress even tried to speak, and not a single other case where we have upheld executive authority over matters like these on the ground they constitute mere ‘details.’” He contended that the statute allowed “the nation’s chief law enforcement officer to write the criminal laws he is charged with enforcing.” Quoting Justice Cardozo’s concurrence in </w:t>
      </w:r>
      <w:r w:rsidRPr="00FE2964">
        <w:rPr>
          <w:i/>
          <w:szCs w:val="24"/>
        </w:rPr>
        <w:t>Schechter</w:t>
      </w:r>
      <w:r w:rsidRPr="00FE2964">
        <w:rPr>
          <w:szCs w:val="24"/>
        </w:rPr>
        <w:t xml:space="preserve">, Gorsuch alleged that this was “delegation running riot.” </w:t>
      </w:r>
    </w:p>
    <w:p w14:paraId="15BFE3D3" w14:textId="77777777" w:rsidR="000E5A41" w:rsidRPr="00FE2964" w:rsidRDefault="000E5A41" w:rsidP="000E5A41">
      <w:pPr>
        <w:rPr>
          <w:szCs w:val="24"/>
        </w:rPr>
      </w:pPr>
      <w:r w:rsidRPr="00FE2964">
        <w:rPr>
          <w:szCs w:val="24"/>
        </w:rPr>
        <w:tab/>
        <w:t>Gorsuch contended that the statute contravened the intent of the Framers to promote “fair notice” and “the rule of law” through “a relatively stable and predictable set of rules” by vesting legislative authority in a single branch of government. Gorsuch likewise warned that excessive delegation would frustrate the “demands of bicameralism and presentment.” Moreover, “if laws could be simply declared by a single person, they would not be few in number, the product of widespread social consensus, likely to promote minority interests, or apt to provide stability and fair notice.” Gorsuch warned that accountability also could suffer because ‘[l]</w:t>
      </w:r>
      <w:proofErr w:type="spellStart"/>
      <w:r w:rsidRPr="00FE2964">
        <w:rPr>
          <w:szCs w:val="24"/>
        </w:rPr>
        <w:t>egislators</w:t>
      </w:r>
      <w:proofErr w:type="spellEnd"/>
      <w:r w:rsidRPr="00FE2964">
        <w:rPr>
          <w:szCs w:val="24"/>
        </w:rPr>
        <w:t xml:space="preserve"> might seek to take credit for addressing a pressing social problem by sending it to the executive for resolution, while at the same time blaming the executive for the problems that attend whatever measures he chooses to pursue. In turn, the executive might point to Congress as the source of the problem.”</w:t>
      </w:r>
    </w:p>
    <w:p w14:paraId="7D93DCD5" w14:textId="77777777" w:rsidR="000E5A41" w:rsidRPr="00FE2964" w:rsidRDefault="000E5A41" w:rsidP="000E5A41">
      <w:pPr>
        <w:rPr>
          <w:szCs w:val="24"/>
        </w:rPr>
      </w:pPr>
      <w:r w:rsidRPr="00FE2964">
        <w:rPr>
          <w:szCs w:val="24"/>
        </w:rPr>
        <w:tab/>
        <w:t xml:space="preserve">Gorsuch argued that Congress could delegate power only when it authorized another branch to “fill up the details;” allowed the executive to conduct “fact-finding” after prescribing a rule; or assigned “the executive and judicial branches certain non-legislative responsibilities.” </w:t>
      </w:r>
    </w:p>
    <w:p w14:paraId="2C8BC6A6" w14:textId="77777777" w:rsidR="000E5A41" w:rsidRPr="00FE2964" w:rsidRDefault="000E5A41" w:rsidP="000E5A41">
      <w:pPr>
        <w:rPr>
          <w:szCs w:val="24"/>
        </w:rPr>
      </w:pPr>
      <w:r w:rsidRPr="00FE2964">
        <w:rPr>
          <w:szCs w:val="24"/>
        </w:rPr>
        <w:tab/>
        <w:t xml:space="preserve">According to Gorsuch, the “intelligible principle” standard that the Court had laid down in </w:t>
      </w:r>
      <w:r w:rsidRPr="00FE2964">
        <w:rPr>
          <w:i/>
          <w:szCs w:val="24"/>
        </w:rPr>
        <w:t>Hampton</w:t>
      </w:r>
      <w:r w:rsidRPr="00FE2964">
        <w:rPr>
          <w:szCs w:val="24"/>
        </w:rPr>
        <w:t xml:space="preserve"> has “mutated” and “has been abused” to permit unconstitutional delegations of congressional power. Gorsuch distinguished </w:t>
      </w:r>
      <w:r w:rsidRPr="00FE2964">
        <w:rPr>
          <w:i/>
          <w:szCs w:val="24"/>
        </w:rPr>
        <w:t>Gundy</w:t>
      </w:r>
      <w:r w:rsidRPr="00FE2964">
        <w:rPr>
          <w:szCs w:val="24"/>
        </w:rPr>
        <w:t xml:space="preserve"> from cases such as </w:t>
      </w:r>
      <w:r w:rsidRPr="00FE2964">
        <w:rPr>
          <w:i/>
          <w:szCs w:val="24"/>
        </w:rPr>
        <w:t>Hampton</w:t>
      </w:r>
      <w:r w:rsidRPr="00FE2964">
        <w:rPr>
          <w:szCs w:val="24"/>
        </w:rPr>
        <w:t xml:space="preserve"> involving the president’s “broad authority over the conduct of foreign affairs or other matters in which he enjoys his own inherent Article II powers” because SORNA governed the “duties and rights” of citizens, “a quintessentially legislative power.” </w:t>
      </w:r>
    </w:p>
    <w:p w14:paraId="09509E1B" w14:textId="77777777" w:rsidR="000E5A41" w:rsidRPr="00FE2964" w:rsidRDefault="000E5A41" w:rsidP="000E5A41">
      <w:pPr>
        <w:rPr>
          <w:szCs w:val="24"/>
        </w:rPr>
      </w:pPr>
      <w:r w:rsidRPr="00FE2964">
        <w:rPr>
          <w:szCs w:val="24"/>
        </w:rPr>
        <w:tab/>
        <w:t xml:space="preserve">Gorsuch denied that the dissent’s interpretation of the non-delegation doctrine would “spell doom for…the ‘administrative state’” because “separation of powers does not prohibit any particular policy outcome, let alone dictate any conclusion about the proper size and scope of government. Instead, it is a procedural guarantee that requires Congress to assemble a social consensus before choosing our nation’s course on policy questions like those implicated by SORNA.” </w:t>
      </w:r>
    </w:p>
    <w:p w14:paraId="74CE3671" w14:textId="77777777" w:rsidR="000E5A41" w:rsidRPr="00FE2964" w:rsidRDefault="000E5A41" w:rsidP="000E5A41">
      <w:pPr>
        <w:rPr>
          <w:szCs w:val="24"/>
        </w:rPr>
      </w:pPr>
      <w:r w:rsidRPr="00FE2964">
        <w:rPr>
          <w:szCs w:val="24"/>
        </w:rPr>
        <w:tab/>
        <w:t xml:space="preserve">In a brief concurring opinion, Justice Alito explained that he would support an effort by the majority to reconsider the approach that the Court has taken since 1935, which “has uniformly rejected nondelegation arguments and has upheld provisions that authorized agencies </w:t>
      </w:r>
      <w:r w:rsidRPr="00FE2964">
        <w:rPr>
          <w:szCs w:val="24"/>
        </w:rPr>
        <w:lastRenderedPageBreak/>
        <w:t xml:space="preserve">to adopt important rules pursuant to extraordinarily capacious standards,” but that “it would be freakish to single out the provision at issue here for special treatment.” </w:t>
      </w:r>
    </w:p>
    <w:p w14:paraId="260B7594" w14:textId="77777777" w:rsidR="000E5A41"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Cs w:val="24"/>
        </w:rPr>
      </w:pPr>
      <w:r w:rsidRPr="00E27670">
        <w:rPr>
          <w:szCs w:val="24"/>
        </w:rPr>
        <w:tab/>
      </w:r>
      <w:r>
        <w:rPr>
          <w:szCs w:val="24"/>
        </w:rPr>
        <w:t>S</w:t>
      </w:r>
      <w:r w:rsidRPr="00915EF3">
        <w:rPr>
          <w:b/>
          <w:szCs w:val="24"/>
        </w:rPr>
        <w:t>tandards for rule-making.</w:t>
      </w:r>
      <w:r>
        <w:rPr>
          <w:szCs w:val="24"/>
        </w:rPr>
        <w:t xml:space="preserve"> </w:t>
      </w:r>
      <w:proofErr w:type="gramStart"/>
      <w:r w:rsidRPr="00E27670">
        <w:rPr>
          <w:szCs w:val="24"/>
        </w:rPr>
        <w:t>In order to</w:t>
      </w:r>
      <w:proofErr w:type="gramEnd"/>
      <w:r w:rsidRPr="00E27670">
        <w:rPr>
          <w:szCs w:val="24"/>
        </w:rPr>
        <w:t xml:space="preserve"> ensure that the vast federal bureaucracy, over which the President presides, exercises delegated power in a fair and responsible manner, the Administrative Procedure Act of 1946 establishes standards for rule-making by both federal executive departments and independent agencies. Federal departments and agencies must provide public notice and a public hearing before issuing rules and regulations pursuant to a formal fact-finding process. Courts will invalidate regulations that are “arbitrary and capricious, an abuse of discretion, or otherwise not in accordance with the law.” Regulations are published in the </w:t>
      </w:r>
      <w:r w:rsidRPr="00E27670">
        <w:rPr>
          <w:i/>
          <w:iCs/>
          <w:szCs w:val="24"/>
        </w:rPr>
        <w:t>Federal Register</w:t>
      </w:r>
      <w:r w:rsidRPr="00E27670">
        <w:rPr>
          <w:szCs w:val="24"/>
        </w:rPr>
        <w:t xml:space="preserve"> and are compiled in the </w:t>
      </w:r>
      <w:r w:rsidRPr="00E27670">
        <w:rPr>
          <w:i/>
          <w:iCs/>
          <w:szCs w:val="24"/>
        </w:rPr>
        <w:t>Code of Federal Regulations</w:t>
      </w:r>
      <w:r w:rsidRPr="00E27670">
        <w:rPr>
          <w:szCs w:val="24"/>
        </w:rPr>
        <w:t xml:space="preserve"> (CFR).</w:t>
      </w:r>
    </w:p>
    <w:p w14:paraId="20AA713B" w14:textId="77777777" w:rsidR="000E5A41" w:rsidRDefault="000E5A41" w:rsidP="000E5A41">
      <w:r>
        <w:rPr>
          <w:b/>
        </w:rPr>
        <w:tab/>
      </w:r>
      <w:r w:rsidRPr="00915EF3">
        <w:t xml:space="preserve">In </w:t>
      </w:r>
      <w:r w:rsidRPr="00915EF3">
        <w:rPr>
          <w:i/>
        </w:rPr>
        <w:t>Department of Commerce v. New York</w:t>
      </w:r>
      <w:r w:rsidRPr="00915EF3">
        <w:rPr>
          <w:szCs w:val="24"/>
        </w:rPr>
        <w:t xml:space="preserve"> </w:t>
      </w:r>
      <w:r w:rsidRPr="00915EF3">
        <w:rPr>
          <w:bCs/>
          <w:szCs w:val="24"/>
        </w:rPr>
        <w:t>(2019),</w:t>
      </w:r>
      <w:r>
        <w:t xml:space="preserve"> a politically controversial case arising under the Administrative Procedure Act (APA), the Court ruled five to four that the Secretary of Commerce failed to provide a sufficient explanation for his inclusion of a question about citizenship status on the 2020 census form. Critics of the census question claimed that the Secretary wanted to ask it </w:t>
      </w:r>
      <w:proofErr w:type="gramStart"/>
      <w:r>
        <w:t>in order to</w:t>
      </w:r>
      <w:proofErr w:type="gramEnd"/>
      <w:r>
        <w:t xml:space="preserve"> discourage undocumented aliens from participating in the census, which might have had the effect of diminishing the number of Democratic members of the House of Representatives and Democratic electoral votes and could have affected the allocation of federal funds for various programs. Finding that the Secretary’s sole reason for the question – to help gather data to facilitate enforcement of the Voting Rights Act (VRA) – “seems to have been contrived,” the Court remanded the case to the case to the District Court, which in turn had remanded the issue to the Department of Commerce for clarification of its explanation for including the question on the census. </w:t>
      </w:r>
    </w:p>
    <w:p w14:paraId="45C69C54" w14:textId="77777777" w:rsidR="000E5A41" w:rsidRDefault="000E5A41" w:rsidP="000E5A41">
      <w:r>
        <w:tab/>
        <w:t xml:space="preserve">In his decision for the Court, Chief Justice Roberts professed to provide a high level of deference to the discretion of the Secretary, to whom Congress in the Census Act has delegated broad powers to conduct the decennial census, which is mandated by the Enumeration Clause of Article I, section 2, clause 3, and the second section of the Fourteenth Amendment. The Court emphasized that every census between 1860 and 2000 inquired about the citizenship or place or birth of at least some of the persons who respond to the census. Even though the Court found that the Secretary’s explanation violated the APA because it appeared to be pretextual, the Court rejected various other challenges to his compliance with that statute. </w:t>
      </w:r>
      <w:proofErr w:type="gramStart"/>
      <w:r>
        <w:t>In particular, the</w:t>
      </w:r>
      <w:proofErr w:type="gramEnd"/>
      <w:r>
        <w:t xml:space="preserve"> Court ruled that the Secretary’s action was supported by evidence that would justify the inclusion of the question for various purposes other than his stated purpose and therefore to that extent was not “arbitrary, capricious, an abuse of discretion, or otherwise not in accordance with law” within the meaning of the APA. The Court explained that the Secretary reasonably could have concluded that the benefits of obtaining more accurate information concerning citizenship outweighed the risk of discouraging participation. The Court also held that the Secretary did not violate the statute by directing inquiries at other agencies </w:t>
      </w:r>
      <w:proofErr w:type="gramStart"/>
      <w:r>
        <w:t>in order to</w:t>
      </w:r>
      <w:proofErr w:type="gramEnd"/>
      <w:r>
        <w:t xml:space="preserve"> formulate the question or transgress the statute through the manner in which he informed Congress about the census question. </w:t>
      </w:r>
    </w:p>
    <w:p w14:paraId="6F682FAF" w14:textId="77777777" w:rsidR="000E5A41" w:rsidRDefault="000E5A41" w:rsidP="000E5A41">
      <w:r>
        <w:lastRenderedPageBreak/>
        <w:tab/>
        <w:t xml:space="preserve">The Court nevertheless found that the Secretary had failed to “disclose the basis” for his action, as required by the Court in </w:t>
      </w:r>
      <w:r>
        <w:rPr>
          <w:i/>
        </w:rPr>
        <w:t>Burlington Truck Lines, Inc. v. United States</w:t>
      </w:r>
      <w:r>
        <w:t xml:space="preserve"> (1962) because the record disclosed “a significant mismatch between the decision the Secretary made and the rationale he provided.” The Court explained, inter alia, that the Secretary began formulating a citizenship question within about a week into his tenure more than a year before he promulgated the question but that his early actions contained “no hint that he was considering VRA enforcement in connection with that project” and that he had tried to elicit requests for citizenship data from the Department of Homeland Security and the Department of Justice’s Executive Office for Immigration Review, neither of which is responsible for enforcing the VRA. </w:t>
      </w:r>
    </w:p>
    <w:p w14:paraId="0AFA3F5E" w14:textId="77777777" w:rsidR="000E5A41" w:rsidRDefault="000E5A41" w:rsidP="000E5A41">
      <w:r>
        <w:tab/>
        <w:t xml:space="preserve">Concluding that the Court was presented “with an explanation for agency action that is incongruent with what the record reveals about the agency’s priorities and </w:t>
      </w:r>
      <w:proofErr w:type="spellStart"/>
      <w:r>
        <w:t>decisionmaking</w:t>
      </w:r>
      <w:proofErr w:type="spellEnd"/>
      <w:r>
        <w:t xml:space="preserve"> process,” the Court explained that “[t]he reasoned explanation requirement of administrative law…is meant to ensure that agencies offer genuine justifications for important decisions, reasons that can be scrutinized by courts and the interested public. Accepting contrived reasons would defeat the purpose of the enterprise. If judicial review is to be more than an empty ritual, it must demand something better than the explanation offered for the action taken in this case.” </w:t>
      </w:r>
    </w:p>
    <w:p w14:paraId="3D5DB71D" w14:textId="77777777" w:rsidR="000E5A41" w:rsidRDefault="000E5A41" w:rsidP="000E5A41">
      <w:r>
        <w:tab/>
        <w:t xml:space="preserve">In a dissent from the Court’s conclusion that the Secretary’s explanation may have been a pretext, Justice Thomas, joined by Justices Gorsuch and Kavanaugh, complained that the Court’s decision was unprecedented insofar as it questioned the sincerity of an agency’s “otherwise adequate rationale.” Thomas alleged that the Court </w:t>
      </w:r>
      <w:proofErr w:type="gramStart"/>
      <w:r>
        <w:t>never before</w:t>
      </w:r>
      <w:proofErr w:type="gramEnd"/>
      <w:r>
        <w:t xml:space="preserve"> had suggested that a “pretextual” rationale “was even a possibility” for invalidating an agency decision. Such lack of deference, he warned, could “transform administrative law” and had “opened a Pandora’s box of pretext-based challenges in administrative law.” He explained that “[s]</w:t>
      </w:r>
      <w:proofErr w:type="spellStart"/>
      <w:r>
        <w:t>ignificant</w:t>
      </w:r>
      <w:proofErr w:type="spellEnd"/>
      <w:r>
        <w:t xml:space="preserve"> policy decisions are regularly criticized as products of partisan influence, interest-group pressure, corruption, and animus. Crediting these accusations on evidence as thin as the evidence here could lead judicial review of administrative proceedings to devolve into an endless morass of discovery and policy disputes not contemplated by the Administrative Procedure Act.” </w:t>
      </w:r>
    </w:p>
    <w:p w14:paraId="4F46B5B1" w14:textId="77777777" w:rsidR="000E5A41" w:rsidRDefault="000E5A41" w:rsidP="000E5A41">
      <w:r>
        <w:tab/>
        <w:t xml:space="preserve">In a separate dissent from the Court’s decision, Justice Alioto declared that “the Federal Judiciary has no authority to stick its nose into the question whether it is good policy to include a citizenship question on the census or whether the reasons given by Secretary Ross for that decision were his only reasons or his real reasons.” Alioto pointed out that courts never until now had reviewed “the content of the census.” After carefully analyzing the APA, he concluded that the Court had failed “to identify any relevant, judicially manageable limits on the Secretary’s decision to put a core demographic question back on the census.” In the absence of an adequate standard of review, courts reviewing decisions about the form and content of the census “would inevitably be drawn into second-guessing the Secretary’s assessment of complicated policy tradeoffs.” </w:t>
      </w:r>
    </w:p>
    <w:p w14:paraId="66B51F31" w14:textId="77777777" w:rsidR="000E5A41" w:rsidRPr="00BC3B72" w:rsidRDefault="000E5A41" w:rsidP="000E5A41">
      <w:r>
        <w:lastRenderedPageBreak/>
        <w:tab/>
        <w:t xml:space="preserve">In a concurring and dissenting opinion joined by Justices Ginsburg, Sotomayor, and Kagan, Justice Breyer contended that the Secretary’s decision to add the citizenship question itself violated the APA because it was arbitrary and capricious insofar as clear evidence indicated that inclusion of the question would reduce participation in the census without providing countervailing benefits. </w:t>
      </w:r>
    </w:p>
    <w:p w14:paraId="4D7A771D" w14:textId="77777777" w:rsidR="000E5A41" w:rsidRPr="00E27670"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szCs w:val="24"/>
        </w:rPr>
      </w:pPr>
      <w:r w:rsidRPr="00915EF3">
        <w:rPr>
          <w:b/>
          <w:szCs w:val="24"/>
        </w:rPr>
        <w:t>Executive orders.</w:t>
      </w:r>
      <w:r>
        <w:rPr>
          <w:szCs w:val="24"/>
        </w:rPr>
        <w:t xml:space="preserve"> </w:t>
      </w:r>
      <w:r w:rsidRPr="00E27670">
        <w:rPr>
          <w:szCs w:val="24"/>
        </w:rPr>
        <w:t>Presidents, beginning with Washington in 1789, have issued special orders that have the force of law. These have come to be known as “executive orders.” Presidents have issued nearly 14,000 such orders. Although some have been promulgated in response to emergency situations, most involve routine issues of administration. For example, President Obama has issued executive orders to extend the Christmas holiday for federal workers to include the day following Christmas. Although the Constitution does not mention executive orders, the president’s power to issue them is derived from Article II’s grant of “executive power” and its “take care” clause. Presidential orders also should have a statutory predicate insofar as they should be based upon either an explicit or implicit grant of authority from Congress to address the issue that is the subject of the order.</w:t>
      </w:r>
    </w:p>
    <w:p w14:paraId="6E3864FB" w14:textId="77777777" w:rsidR="000E5A41" w:rsidRPr="00E27670"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szCs w:val="24"/>
        </w:rPr>
      </w:pPr>
      <w:r w:rsidRPr="00E27670">
        <w:rPr>
          <w:szCs w:val="24"/>
        </w:rPr>
        <w:t xml:space="preserve">During recent decades, presidents also have issued numerous “presidential memoranda,” which have the same legal effect as executive orders, except that the memoranda are more often framed in terms of advice to executive agencies. For example, President Obama issued a memorandum instructing the Treasury Department to develop a pilot program to enable low-income workers to establish retirement savings accounts. Both are published in </w:t>
      </w:r>
      <w:r w:rsidRPr="00E27670">
        <w:rPr>
          <w:i/>
          <w:iCs/>
          <w:szCs w:val="24"/>
        </w:rPr>
        <w:t>The Federal Register</w:t>
      </w:r>
      <w:r w:rsidRPr="00E27670">
        <w:rPr>
          <w:szCs w:val="24"/>
        </w:rPr>
        <w:t>.</w:t>
      </w:r>
    </w:p>
    <w:p w14:paraId="0486DC09" w14:textId="77777777" w:rsidR="000E5A41" w:rsidRPr="00E27670"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szCs w:val="24"/>
        </w:rPr>
      </w:pPr>
      <w:r w:rsidRPr="00E27670">
        <w:rPr>
          <w:szCs w:val="24"/>
        </w:rPr>
        <w:t xml:space="preserve">Pursuant to an executive order signed by President Kennedy in 1962, executive orders must cite the statutory authority upon which they are based. There is no such requirement for presidential memoranda even though they, too, should have a statutory predicate. </w:t>
      </w:r>
    </w:p>
    <w:p w14:paraId="44B3F9A5" w14:textId="77777777" w:rsidR="000E5A41"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szCs w:val="24"/>
        </w:rPr>
      </w:pPr>
      <w:r w:rsidRPr="00E27670">
        <w:rPr>
          <w:szCs w:val="24"/>
        </w:rPr>
        <w:t xml:space="preserve">Executive orders and memoranda can create political controversy and conflicts between the President and Congress and the states raising questions whether the president has exceeded his authority. Twenty-six states challenged President Obama’s authority to issue a series of memoranda in 2014 that would have shielded as many as five million undocumented aliens from deportation. The Supreme Court in </w:t>
      </w:r>
      <w:r w:rsidRPr="00E27670">
        <w:rPr>
          <w:i/>
          <w:iCs/>
          <w:szCs w:val="24"/>
        </w:rPr>
        <w:t>United States v. Texas</w:t>
      </w:r>
      <w:r w:rsidRPr="00E27670">
        <w:rPr>
          <w:szCs w:val="24"/>
        </w:rPr>
        <w:t xml:space="preserve"> (2016) divided four-to-four on the issue, thereby upholding a Court of Appeals decision that held by a two to one vote that Obama had exceeded his constitutional authority.  </w:t>
      </w:r>
    </w:p>
    <w:p w14:paraId="477D0782" w14:textId="77777777" w:rsidR="000E5A41" w:rsidRPr="00E978C6" w:rsidRDefault="000E5A41" w:rsidP="000E5A41">
      <w:pPr>
        <w:ind w:firstLine="720"/>
        <w:rPr>
          <w:rFonts w:cs="Times New Roman"/>
          <w:szCs w:val="24"/>
        </w:rPr>
      </w:pPr>
      <w:r w:rsidRPr="00915EF3">
        <w:rPr>
          <w:rFonts w:cs="Times New Roman"/>
          <w:b/>
          <w:szCs w:val="24"/>
        </w:rPr>
        <w:t>The Emoluments Clauses</w:t>
      </w:r>
      <w:r w:rsidRPr="00915EF3">
        <w:rPr>
          <w:b/>
          <w:szCs w:val="24"/>
        </w:rPr>
        <w:t>.</w:t>
      </w:r>
      <w:r>
        <w:rPr>
          <w:b/>
          <w:szCs w:val="24"/>
        </w:rPr>
        <w:t xml:space="preserve"> </w:t>
      </w:r>
      <w:r w:rsidRPr="00E978C6">
        <w:rPr>
          <w:rFonts w:cs="Times New Roman"/>
          <w:szCs w:val="24"/>
        </w:rPr>
        <w:t xml:space="preserve">Three separate constitutional provisions prohibit various federal officials from receiving gifts or certain kinds of favors from federal, state, and foreign governments. </w:t>
      </w:r>
    </w:p>
    <w:p w14:paraId="2295D487" w14:textId="77777777" w:rsidR="000E5A41" w:rsidRPr="00E978C6" w:rsidRDefault="000E5A41" w:rsidP="000E5A41">
      <w:pPr>
        <w:rPr>
          <w:rFonts w:cs="Times New Roman"/>
          <w:szCs w:val="24"/>
        </w:rPr>
      </w:pPr>
      <w:r w:rsidRPr="00E978C6">
        <w:rPr>
          <w:rFonts w:cs="Times New Roman"/>
          <w:szCs w:val="24"/>
        </w:rPr>
        <w:tab/>
        <w:t xml:space="preserve">The so-called Foreign Emoluments Clause in Art. I, sec. 9, cl. 8, provides that “No Person holding any Office or Profit or Trust under [the United States], shall, without the Consent </w:t>
      </w:r>
      <w:r w:rsidRPr="00E978C6">
        <w:rPr>
          <w:rFonts w:cs="Times New Roman"/>
          <w:szCs w:val="24"/>
        </w:rPr>
        <w:lastRenderedPageBreak/>
        <w:t xml:space="preserve">of the Congress, accept any present, Emolument, Office, or Title, of any kind whatever, from any King, Prince, or foreign State.” </w:t>
      </w:r>
    </w:p>
    <w:p w14:paraId="690711C3" w14:textId="77777777" w:rsidR="000E5A41" w:rsidRPr="00E978C6" w:rsidRDefault="000E5A41" w:rsidP="000E5A41">
      <w:pPr>
        <w:rPr>
          <w:rFonts w:cs="Times New Roman"/>
          <w:szCs w:val="24"/>
        </w:rPr>
      </w:pPr>
      <w:r w:rsidRPr="00E978C6">
        <w:rPr>
          <w:rFonts w:cs="Times New Roman"/>
          <w:szCs w:val="24"/>
        </w:rPr>
        <w:tab/>
        <w:t xml:space="preserve">The so-called Domestic Emoluments Clause in Art. II, sec. 1, cl. 7, provides that “The President shall, at stated Times, receive for his Services, a Compensation, which shall neither be increased nor diminished during the Period for which he shall have been elected, and he shall not receive within that Period any other Emolument from the United States, or any of them.” </w:t>
      </w:r>
    </w:p>
    <w:p w14:paraId="4F41540F" w14:textId="77777777" w:rsidR="000E5A41" w:rsidRPr="00E978C6" w:rsidRDefault="000E5A41" w:rsidP="000E5A41">
      <w:pPr>
        <w:rPr>
          <w:rFonts w:cs="Times New Roman"/>
          <w:szCs w:val="24"/>
        </w:rPr>
      </w:pPr>
      <w:r w:rsidRPr="00E978C6">
        <w:rPr>
          <w:rFonts w:cs="Times New Roman"/>
          <w:szCs w:val="24"/>
        </w:rPr>
        <w:tab/>
        <w:t xml:space="preserve">The so-called Ineligibility Clause in Art. I, sec. 6, cl. 2, provides that “no Senator or Representative shall, during the Time for which he was elected, be appointed to any civil Office under the Authority of the United States, which shall have been created, or the Emoluments whereof shall have been increased during such time; and no Person holding any Office under the United States, shall be a Member of either House during his Continuance in Office.” </w:t>
      </w:r>
    </w:p>
    <w:p w14:paraId="1842A4B5" w14:textId="77777777" w:rsidR="000E5A41" w:rsidRPr="00E978C6" w:rsidRDefault="000E5A41" w:rsidP="000E5A41">
      <w:pPr>
        <w:rPr>
          <w:rFonts w:cs="Times New Roman"/>
          <w:szCs w:val="24"/>
        </w:rPr>
      </w:pPr>
      <w:r w:rsidRPr="00E978C6">
        <w:rPr>
          <w:rFonts w:cs="Times New Roman"/>
          <w:szCs w:val="24"/>
        </w:rPr>
        <w:tab/>
        <w:t xml:space="preserve">These clauses generated little litigation until the election of Donald Trump, </w:t>
      </w:r>
      <w:proofErr w:type="gramStart"/>
      <w:r w:rsidRPr="00E978C6">
        <w:rPr>
          <w:rFonts w:cs="Times New Roman"/>
          <w:szCs w:val="24"/>
        </w:rPr>
        <w:t>whose</w:t>
      </w:r>
      <w:proofErr w:type="gramEnd"/>
      <w:r w:rsidRPr="00E978C6">
        <w:rPr>
          <w:rFonts w:cs="Times New Roman"/>
          <w:szCs w:val="24"/>
        </w:rPr>
        <w:t xml:space="preserve"> far flung business interests have raised questions about the danger of foreign influence over his presidential policies. </w:t>
      </w:r>
    </w:p>
    <w:p w14:paraId="4FB584C0" w14:textId="0A22AC18" w:rsidR="000E5A41" w:rsidRPr="00E978C6" w:rsidRDefault="000E5A41" w:rsidP="000E5A41">
      <w:pPr>
        <w:rPr>
          <w:rFonts w:cs="Times New Roman"/>
          <w:szCs w:val="24"/>
        </w:rPr>
      </w:pPr>
      <w:r w:rsidRPr="00E978C6">
        <w:rPr>
          <w:rFonts w:cs="Times New Roman"/>
          <w:szCs w:val="24"/>
        </w:rPr>
        <w:tab/>
        <w:t xml:space="preserve">In July 2019, a three-judge panel of the U.S. Court of Appeals for the Fourth Circuit unanimously dismissed a lawsuit in which the District of Columbia and the State of Maryland alleged that Trump violated the Foreign and Domestic Emoluments Clauses by improperly benefiting from foreign patronage of a hotel he owns five blocks from the White House, </w:t>
      </w:r>
      <w:bookmarkStart w:id="21" w:name="_Hlk16844964"/>
      <w:r w:rsidRPr="00E978C6">
        <w:rPr>
          <w:rFonts w:cs="Times New Roman"/>
          <w:i/>
          <w:szCs w:val="24"/>
        </w:rPr>
        <w:t>In re Trump</w:t>
      </w:r>
      <w:r w:rsidRPr="00E978C6">
        <w:rPr>
          <w:rFonts w:cs="Times New Roman"/>
          <w:szCs w:val="24"/>
        </w:rPr>
        <w:t xml:space="preserve">, </w:t>
      </w:r>
      <w:r w:rsidRPr="00E978C6">
        <w:rPr>
          <w:rFonts w:cs="Times New Roman"/>
          <w:color w:val="3D3D3D"/>
          <w:szCs w:val="24"/>
          <w:shd w:val="clear" w:color="auto" w:fill="FFFFFF"/>
        </w:rPr>
        <w:t>928 F.3d 360 (4</w:t>
      </w:r>
      <w:r w:rsidRPr="00E978C6">
        <w:rPr>
          <w:rFonts w:cs="Times New Roman"/>
          <w:color w:val="3D3D3D"/>
          <w:szCs w:val="24"/>
          <w:shd w:val="clear" w:color="auto" w:fill="FFFFFF"/>
          <w:vertAlign w:val="superscript"/>
        </w:rPr>
        <w:t>th</w:t>
      </w:r>
      <w:r w:rsidRPr="00E978C6">
        <w:rPr>
          <w:rFonts w:cs="Times New Roman"/>
          <w:color w:val="3D3D3D"/>
          <w:szCs w:val="24"/>
          <w:shd w:val="clear" w:color="auto" w:fill="FFFFFF"/>
        </w:rPr>
        <w:t xml:space="preserve"> Cir. 2019)</w:t>
      </w:r>
      <w:bookmarkEnd w:id="21"/>
      <w:r w:rsidRPr="00E978C6">
        <w:rPr>
          <w:rFonts w:cs="Times New Roman"/>
          <w:szCs w:val="24"/>
        </w:rPr>
        <w:t xml:space="preserve">. The court held that the plaintiffs lacked standing, rejecting claims that Trump’s hotel harmed their sovereign and quasi-sovereign interests and generated proprietary and other financial injuries. </w:t>
      </w:r>
      <w:proofErr w:type="gramStart"/>
      <w:r w:rsidRPr="00E978C6">
        <w:rPr>
          <w:rFonts w:cs="Times New Roman"/>
          <w:szCs w:val="24"/>
        </w:rPr>
        <w:t>In particular, the</w:t>
      </w:r>
      <w:proofErr w:type="gramEnd"/>
      <w:r w:rsidRPr="00E978C6">
        <w:rPr>
          <w:rFonts w:cs="Times New Roman"/>
          <w:szCs w:val="24"/>
        </w:rPr>
        <w:t xml:space="preserve"> plaintiffs had contended that the hotel was unfair to competing businesses and compromised enforcement of environmental protection. </w:t>
      </w:r>
    </w:p>
    <w:p w14:paraId="01B2A128" w14:textId="77777777" w:rsidR="000E5A41" w:rsidRPr="00E978C6" w:rsidRDefault="000E5A41" w:rsidP="000E5A41">
      <w:pPr>
        <w:rPr>
          <w:rFonts w:cs="Times New Roman"/>
          <w:szCs w:val="24"/>
        </w:rPr>
      </w:pPr>
      <w:r w:rsidRPr="00E978C6">
        <w:rPr>
          <w:rFonts w:cs="Times New Roman"/>
          <w:szCs w:val="24"/>
        </w:rPr>
        <w:tab/>
        <w:t xml:space="preserve">The court explained that the plaintiffs “have manifested substantial difficulty articulating how they are harmed by the President’s receipts of emoluments and the nature of the relief that could redress any harm.” The court also pointed out that the emoluments clauses “give no rights and provide no remedies.” Pointing out that no court had entertained a claim to enforce the clauses, the court declared that “to allow such a suit to go forward in the district court without a resolution of the controlling issues by a court of appeals could result in an unnecessary intrusion into the duties and affairs of a sitting President.” </w:t>
      </w:r>
    </w:p>
    <w:p w14:paraId="3CDD221F" w14:textId="77777777" w:rsidR="000E5A41" w:rsidRPr="00E978C6" w:rsidRDefault="000E5A41" w:rsidP="000E5A41">
      <w:pPr>
        <w:rPr>
          <w:rFonts w:cs="Times New Roman"/>
          <w:szCs w:val="24"/>
        </w:rPr>
      </w:pPr>
      <w:r w:rsidRPr="00E978C6">
        <w:rPr>
          <w:rFonts w:cs="Times New Roman"/>
          <w:szCs w:val="24"/>
        </w:rPr>
        <w:tab/>
        <w:t xml:space="preserve">The U.S. District Court for the Southern District of New York similarly dismissed another case against Trump arising under the Foreign and Domestic Emoluments Clauses by a nonprofit citizens’ group for lack of standing in December 2017. </w:t>
      </w:r>
      <w:bookmarkStart w:id="22" w:name="_Hlk16845008"/>
      <w:r w:rsidRPr="00E978C6">
        <w:rPr>
          <w:rFonts w:cs="Times New Roman"/>
          <w:i/>
          <w:szCs w:val="24"/>
        </w:rPr>
        <w:t>Citizens for Responsibility and Ethics in Washington v. Trump</w:t>
      </w:r>
      <w:r w:rsidRPr="00E978C6">
        <w:rPr>
          <w:rFonts w:cs="Times New Roman"/>
          <w:szCs w:val="24"/>
        </w:rPr>
        <w:t xml:space="preserve">, </w:t>
      </w:r>
      <w:r w:rsidRPr="00E978C6">
        <w:rPr>
          <w:rFonts w:cs="Times New Roman"/>
          <w:color w:val="3D3D3D"/>
          <w:szCs w:val="24"/>
          <w:shd w:val="clear" w:color="auto" w:fill="FFFFFF"/>
        </w:rPr>
        <w:t>276 F.Supp.3d 174</w:t>
      </w:r>
      <w:r w:rsidRPr="00E978C6">
        <w:rPr>
          <w:rFonts w:cs="Times New Roman"/>
          <w:szCs w:val="24"/>
        </w:rPr>
        <w:t xml:space="preserve"> (S.D.N.Y. 2017)</w:t>
      </w:r>
      <w:bookmarkEnd w:id="22"/>
      <w:r w:rsidRPr="00E978C6">
        <w:rPr>
          <w:rFonts w:cs="Times New Roman"/>
          <w:szCs w:val="24"/>
        </w:rPr>
        <w:t>.</w:t>
      </w:r>
      <w:r>
        <w:rPr>
          <w:rFonts w:cs="Times New Roman"/>
          <w:szCs w:val="24"/>
        </w:rPr>
        <w:t xml:space="preserve"> </w:t>
      </w:r>
      <w:r w:rsidRPr="00E978C6">
        <w:rPr>
          <w:rFonts w:cs="Times New Roman"/>
          <w:szCs w:val="24"/>
        </w:rPr>
        <w:t>The standing issue presently is on appeal before the Second Circuit.</w:t>
      </w:r>
    </w:p>
    <w:p w14:paraId="0A72C7A6" w14:textId="77777777" w:rsidR="000E5A41" w:rsidRPr="00E978C6" w:rsidRDefault="000E5A41" w:rsidP="000E5A41">
      <w:pPr>
        <w:rPr>
          <w:rFonts w:cs="Times New Roman"/>
          <w:szCs w:val="24"/>
        </w:rPr>
      </w:pPr>
      <w:r w:rsidRPr="00E978C6">
        <w:rPr>
          <w:rFonts w:cs="Times New Roman"/>
          <w:szCs w:val="24"/>
        </w:rPr>
        <w:tab/>
        <w:t xml:space="preserve">In a third lawsuit, the District Court for the District of Columbia has held that 201 Members of Congress have standing to bring an action against Trump under the Foreign </w:t>
      </w:r>
      <w:r w:rsidRPr="00E978C6">
        <w:rPr>
          <w:rFonts w:cs="Times New Roman"/>
          <w:szCs w:val="24"/>
        </w:rPr>
        <w:lastRenderedPageBreak/>
        <w:t xml:space="preserve">Emoluments Clause on account of payments made by foreign governments at various Trump-owned properties and that they have stated a cause of action insofar as the term “emolument” extends to any gain, profit, or advantage. </w:t>
      </w:r>
      <w:bookmarkStart w:id="23" w:name="_Hlk16845055"/>
      <w:r w:rsidRPr="00E978C6">
        <w:rPr>
          <w:rFonts w:cs="Times New Roman"/>
          <w:i/>
          <w:szCs w:val="24"/>
        </w:rPr>
        <w:t>Blumenthal et al. v. Trump</w:t>
      </w:r>
      <w:r w:rsidRPr="00E978C6">
        <w:rPr>
          <w:rFonts w:cs="Times New Roman"/>
          <w:szCs w:val="24"/>
        </w:rPr>
        <w:t xml:space="preserve">, </w:t>
      </w:r>
      <w:r w:rsidRPr="00E978C6">
        <w:rPr>
          <w:rFonts w:cs="Times New Roman"/>
          <w:color w:val="3D3D3D"/>
          <w:szCs w:val="24"/>
          <w:shd w:val="clear" w:color="auto" w:fill="FFFFFF"/>
        </w:rPr>
        <w:t>373 F.Supp.3d 191</w:t>
      </w:r>
      <w:r w:rsidRPr="00E978C6">
        <w:rPr>
          <w:rFonts w:cs="Times New Roman"/>
          <w:szCs w:val="24"/>
        </w:rPr>
        <w:t xml:space="preserve"> (D.D.C. 2019)</w:t>
      </w:r>
      <w:bookmarkEnd w:id="23"/>
      <w:r w:rsidRPr="00E978C6">
        <w:rPr>
          <w:rFonts w:cs="Times New Roman"/>
          <w:szCs w:val="24"/>
        </w:rPr>
        <w:t xml:space="preserve">. The case presently is pending in the district court. </w:t>
      </w:r>
    </w:p>
    <w:p w14:paraId="7061E140" w14:textId="5D5221AC" w:rsidR="000E5A41"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szCs w:val="24"/>
        </w:rPr>
      </w:pPr>
      <w:r w:rsidRPr="00E27670">
        <w:rPr>
          <w:szCs w:val="24"/>
        </w:rPr>
        <w:t xml:space="preserve">The Supreme Court’s major decision addressing presidential authority to issue executive orders was </w:t>
      </w:r>
      <w:r w:rsidRPr="00E27670">
        <w:rPr>
          <w:i/>
          <w:iCs/>
          <w:szCs w:val="24"/>
        </w:rPr>
        <w:t>Youngstown Sheet &amp; Tube Co. v. Sawyer</w:t>
      </w:r>
      <w:r w:rsidRPr="00E27670">
        <w:rPr>
          <w:szCs w:val="24"/>
        </w:rPr>
        <w:t xml:space="preserve"> (1952). </w:t>
      </w:r>
    </w:p>
    <w:p w14:paraId="32E2B2C1" w14:textId="3B451CEA" w:rsidR="000E5A41" w:rsidRPr="000E5A41" w:rsidRDefault="000E5A41" w:rsidP="000E5A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Cs w:val="24"/>
        </w:rPr>
      </w:pPr>
      <w:r w:rsidRPr="000E5A41">
        <w:rPr>
          <w:szCs w:val="24"/>
        </w:rPr>
        <w:t>* *</w:t>
      </w:r>
      <w:r>
        <w:rPr>
          <w:szCs w:val="24"/>
        </w:rPr>
        <w:t xml:space="preserve"> *</w:t>
      </w:r>
    </w:p>
    <w:p w14:paraId="296C9C4C" w14:textId="69DB11F5" w:rsidR="00675288" w:rsidRPr="00B96CAA" w:rsidRDefault="00675288" w:rsidP="00675288">
      <w:pPr>
        <w:rPr>
          <w:rFonts w:cs="Times New Roman"/>
          <w:szCs w:val="24"/>
        </w:rPr>
      </w:pPr>
      <w:r w:rsidRPr="00B96CAA">
        <w:rPr>
          <w:rFonts w:cs="Times New Roman"/>
          <w:szCs w:val="24"/>
        </w:rPr>
        <w:t>[</w:t>
      </w:r>
      <w:r w:rsidRPr="00B96CAA">
        <w:rPr>
          <w:rFonts w:cs="Times New Roman"/>
          <w:i/>
          <w:szCs w:val="24"/>
        </w:rPr>
        <w:t>Insert on page 341 after Youngstown Sheet &amp; Tube Co. v. Sawyer and before the ***.</w:t>
      </w:r>
      <w:r w:rsidRPr="00B96CAA">
        <w:rPr>
          <w:rFonts w:cs="Times New Roman"/>
          <w:szCs w:val="24"/>
        </w:rPr>
        <w:t>]</w:t>
      </w:r>
    </w:p>
    <w:p w14:paraId="46B4DE82" w14:textId="77777777" w:rsidR="00675288" w:rsidRPr="00B96CAA" w:rsidRDefault="00675288" w:rsidP="00675288">
      <w:pPr>
        <w:pStyle w:val="Heading3"/>
        <w:jc w:val="center"/>
        <w:rPr>
          <w:rFonts w:cs="Times New Roman"/>
          <w:i/>
          <w:szCs w:val="24"/>
        </w:rPr>
      </w:pPr>
      <w:bookmarkStart w:id="24" w:name="_Toc427688056"/>
      <w:bookmarkStart w:id="25" w:name="_Toc459128202"/>
      <w:bookmarkStart w:id="26" w:name="_Toc490745375"/>
      <w:bookmarkStart w:id="27" w:name="_Toc16886243"/>
      <w:r w:rsidRPr="00B96CAA">
        <w:rPr>
          <w:rFonts w:cs="Times New Roman"/>
          <w:szCs w:val="24"/>
        </w:rPr>
        <w:t>Note:</w:t>
      </w:r>
      <w:r w:rsidRPr="00B96CAA">
        <w:rPr>
          <w:rFonts w:cs="Times New Roman"/>
          <w:i/>
          <w:szCs w:val="24"/>
        </w:rPr>
        <w:t xml:space="preserve"> Trump v. Hawaii</w:t>
      </w:r>
      <w:r w:rsidRPr="00B96CAA">
        <w:rPr>
          <w:rFonts w:cs="Times New Roman"/>
          <w:szCs w:val="24"/>
        </w:rPr>
        <w:t xml:space="preserve"> (2018)</w:t>
      </w:r>
      <w:bookmarkEnd w:id="24"/>
      <w:bookmarkEnd w:id="25"/>
      <w:bookmarkEnd w:id="26"/>
      <w:bookmarkEnd w:id="27"/>
    </w:p>
    <w:bookmarkEnd w:id="10"/>
    <w:p w14:paraId="23C90555" w14:textId="026840AE" w:rsidR="00675288" w:rsidRPr="00B96CAA" w:rsidRDefault="00675288" w:rsidP="00675288">
      <w:pPr>
        <w:ind w:firstLine="720"/>
        <w:rPr>
          <w:rFonts w:cs="Times New Roman"/>
          <w:szCs w:val="24"/>
        </w:rPr>
      </w:pPr>
      <w:r w:rsidRPr="00B96CAA">
        <w:rPr>
          <w:rFonts w:cs="Times New Roman"/>
          <w:szCs w:val="24"/>
        </w:rPr>
        <w:t>The Court in this case sustained the validity of President Trump’s restrictions on the entry into the United States of persons that the Trump Administration regarded as potential terrorists. The Court, in an opinion delivered by Chief Justice Roberts</w:t>
      </w:r>
      <w:r w:rsidR="00DB4423">
        <w:rPr>
          <w:rFonts w:cs="Times New Roman"/>
          <w:szCs w:val="24"/>
        </w:rPr>
        <w:t xml:space="preserve"> (joined by Kennedy, Thomas, Alito, and Gorsuch, JJ.)</w:t>
      </w:r>
      <w:r w:rsidRPr="00B96CAA">
        <w:rPr>
          <w:rFonts w:cs="Times New Roman"/>
          <w:szCs w:val="24"/>
        </w:rPr>
        <w:t xml:space="preserve">, concluded that Trump had acted in accordance with the powers delegated to the president pursuant to the Immigration and Nationality Act (INA) and that the order did not violate the Establishment Clause even though most of the persons affected by the order were Muslims. </w:t>
      </w:r>
    </w:p>
    <w:p w14:paraId="71DE5B21" w14:textId="77777777" w:rsidR="00675288" w:rsidRPr="00B96CAA" w:rsidRDefault="00675288" w:rsidP="00675288">
      <w:pPr>
        <w:rPr>
          <w:rFonts w:cs="Times New Roman"/>
          <w:szCs w:val="24"/>
        </w:rPr>
      </w:pPr>
      <w:r w:rsidRPr="00B96CAA">
        <w:rPr>
          <w:rFonts w:cs="Times New Roman"/>
          <w:szCs w:val="24"/>
        </w:rPr>
        <w:tab/>
        <w:t xml:space="preserve">Trump’s order, as the Court explained, “sought to improve vetting procedures by identifying ongoing deficiencies in the information needed to assess whether nationals of particular countries present ‘public safety threats.’…To further that purpose, the Proclamation placed entry restrictions on the nationals of eight foreign states whose systems for managing and sharing information about their nationals the President deemed inadequate.” </w:t>
      </w:r>
    </w:p>
    <w:p w14:paraId="7A5AE53D" w14:textId="77777777" w:rsidR="00675288" w:rsidRPr="00B96CAA" w:rsidRDefault="00675288" w:rsidP="00675288">
      <w:pPr>
        <w:rPr>
          <w:rFonts w:cs="Times New Roman"/>
          <w:szCs w:val="24"/>
        </w:rPr>
      </w:pPr>
      <w:r w:rsidRPr="00B96CAA">
        <w:rPr>
          <w:rFonts w:cs="Times New Roman"/>
          <w:szCs w:val="24"/>
        </w:rPr>
        <w:tab/>
        <w:t xml:space="preserve">The proclamation explained that the eight countries were selected only after an extensive investigative process by the Department of Homeland Security, which identified countries whose governments were deficient in ensuring the integrity of travel documents and disclosure of information about the criminal histories and possible terrorist links of persons seeking to enter the United States. The Department also considered the extent to which these foreign states were known or potential havens for terrorists. It initially identified sixteen countries as having deficient information-sharing practices and another 31 as “at risk” for deficiencies in such practices. The State Department afterwards spent fifty days in diplomatic efforts to encourage these foreign governments to improve their practices. Many of these countries responded by improving their documentation process and agreeing to share information about known or suspected terrorists. At the end of this fifty day period, the Department of Homeland Security recommended restrictions on entry of various persons from Chad, Iran, Libya, North Korea, Somalia, Syria, Venezuela, and Yemen. The president embodied these recommendations in his proclamation after consulting with Cabinet members and other officials. As the Court explained, the proclamation “imposed a range of restrictions that vary based on the ‘distinct circumstances’ in each of the eight countries.” </w:t>
      </w:r>
    </w:p>
    <w:p w14:paraId="0C1956DD" w14:textId="77777777" w:rsidR="00675288" w:rsidRPr="00B96CAA" w:rsidRDefault="00675288" w:rsidP="00675288">
      <w:pPr>
        <w:rPr>
          <w:rFonts w:cs="Times New Roman"/>
          <w:szCs w:val="24"/>
        </w:rPr>
      </w:pPr>
      <w:r w:rsidRPr="00B96CAA">
        <w:rPr>
          <w:rFonts w:cs="Times New Roman"/>
          <w:szCs w:val="24"/>
        </w:rPr>
        <w:lastRenderedPageBreak/>
        <w:tab/>
        <w:t xml:space="preserve">The constitutionality of the statute was challenged by the State of Hawaii, whose university recruits students and faculty from the designated countries; three U.S. citizens whose relatives were applying for visas from some of those countries; and an organization that operates a mosque in Hawaii. A federal district court issued a nationwide injunction on the ground that the President failed to make sufficient findings that the entry of the designated foreign nationals would be detrimental to the national interest and because it discriminated on the basis of nationality. The Court of Appeals for the Ninth Circuit affirmed. Neither lower federal court considered the plaintiffs’ claims that the proclamation violated the Establishment Clause by discriminating against Muslims. </w:t>
      </w:r>
    </w:p>
    <w:p w14:paraId="43261FF2" w14:textId="77777777" w:rsidR="00675288" w:rsidRPr="00B96CAA" w:rsidRDefault="00675288" w:rsidP="00675288">
      <w:pPr>
        <w:rPr>
          <w:rFonts w:cs="Times New Roman"/>
          <w:szCs w:val="24"/>
        </w:rPr>
      </w:pPr>
      <w:r w:rsidRPr="00B96CAA">
        <w:rPr>
          <w:rFonts w:cs="Times New Roman"/>
          <w:szCs w:val="24"/>
        </w:rPr>
        <w:tab/>
        <w:t>In reversing this decision, the Court declared that the President acted in accordance with the “plain language” of section 1182(f) of the INA, which provides that “[w]</w:t>
      </w:r>
      <w:proofErr w:type="spellStart"/>
      <w:r w:rsidRPr="00B96CAA">
        <w:rPr>
          <w:rFonts w:cs="Times New Roman"/>
          <w:szCs w:val="24"/>
        </w:rPr>
        <w:t>henever</w:t>
      </w:r>
      <w:proofErr w:type="spellEnd"/>
      <w:r w:rsidRPr="00B96CAA">
        <w:rPr>
          <w:rFonts w:cs="Times New Roman"/>
          <w:szCs w:val="24"/>
        </w:rPr>
        <w:t xml:space="preserve"> the President finds that the entry of any aliens or of any class of aliens into the United States would be detrimental to the interests of the United States, he may by proclamation, and for such period as he shall deem necessary, suspend the entry of all aliens or any class of aliens as immigrants or nonimmigrants, or impose on the entry of aliens any restrictions he may deem to be appropriate.” The Court concluded that this statute, which “exudes deference to the President in every clause,” confers “broad discretion” permitting the President “to suspend the entry of aliens into the United States. The President lawfully exercised that discretion based on his findings – following a worldwide, multi-agency review – that entry of the covered aliens would be detrimental to the national interest. And plaintiffs’ attempts to identify a conflict with other provisions in the INA, and their appeal to the statute’s purposes and history, fail to overcome the clear statutory language.” The Court remarked that “[t]he 12-page Proclamation – which thoroughly describes the process, agency evaluations, and recommendations underlying the President’s chosen restrictions – is more detailed than any prior order a President has issued under [section] 1182(f).” The Court also pointed out that at least three previous presidents, Obama, Clinton, and Reagan, have expansively interpreted the statute by suspending entry “not because the covered nationals themselves engaged in harmful acts but instead to retaliate for conduct by their governments that conflicted with U.S. foreign policy interests.” </w:t>
      </w:r>
    </w:p>
    <w:p w14:paraId="28A46194" w14:textId="77777777" w:rsidR="00675288" w:rsidRPr="00B96CAA" w:rsidRDefault="00675288" w:rsidP="00675288">
      <w:pPr>
        <w:rPr>
          <w:rFonts w:cs="Times New Roman"/>
          <w:szCs w:val="24"/>
        </w:rPr>
      </w:pPr>
      <w:r w:rsidRPr="00B96CAA">
        <w:rPr>
          <w:rFonts w:cs="Times New Roman"/>
          <w:szCs w:val="24"/>
        </w:rPr>
        <w:tab/>
        <w:t xml:space="preserve">The Court also rejected the argument that the proclamation violated a provision of the INA, section 1152(a)(1)(A), which prohibits discrimination based on “nationality, place of birth, or place of residence.” The Court explained that this provision applies only after a person has been deemed admissible pursuant to section 1182(f). The Court explained that “[t]he distinction between admissibility – to which [section] 1152(a)(1)(A) does not apply – and visa issuance – to which it does – is apparent from the text of the provision, which specifies only that its protections apply to the ‘issuance’ of ‘immigrant visa[s],’ without mentioning admissibility or entry.” </w:t>
      </w:r>
    </w:p>
    <w:p w14:paraId="45403C5D" w14:textId="77777777" w:rsidR="00675288" w:rsidRPr="00B96CAA" w:rsidRDefault="00675288" w:rsidP="00675288">
      <w:pPr>
        <w:rPr>
          <w:rFonts w:cs="Times New Roman"/>
          <w:szCs w:val="24"/>
        </w:rPr>
      </w:pPr>
      <w:r w:rsidRPr="00B96CAA">
        <w:rPr>
          <w:rFonts w:cs="Times New Roman"/>
          <w:szCs w:val="24"/>
        </w:rPr>
        <w:tab/>
        <w:t xml:space="preserve">Finally, the Court concluded that the proclamation did not discriminate on the grounds of religion even though most of the countries covered by it have Muslim-majority populations and even though Trump during his presidential campaign had expressed concerns about possible </w:t>
      </w:r>
      <w:r w:rsidRPr="00B96CAA">
        <w:rPr>
          <w:rFonts w:cs="Times New Roman"/>
          <w:szCs w:val="24"/>
        </w:rPr>
        <w:lastRenderedPageBreak/>
        <w:t xml:space="preserve">security risks caused by Muslim immigration into the United States. Although the Court expressed reluctance to inquire into the motives behind a proclamation that was “neutral on its face” and addressed “a matter within the core of executive responsibility,” the Court expressed its willingness to “look behind the face of the Proclamation to the extent of applying rational basis review.” The Court explained that this “standard of review considers whether the entry policy is plausibly related to the Government’s stated objective to protect the country and improve vetting processes.” In applying this standard the Court considered, among various factors, that the proclamation was religiously neutral; that it was “limited to countries that were previously designated by Congress or prior administrations as posing national security risks;” that it reflected “the results of a worldwide review process undertaken by multiple Cabinet officials and their agencies;” that the proclamation includes “significant exceptions for various categories of foreign nationals,” and that it contains a waiver program open to individuals who could demonstrate hardship and the absence of any threat to American security. The Court concluded that “the entry suspension has a legitimate grounding in national security concerns, quite apart from any religious hostility.” </w:t>
      </w:r>
    </w:p>
    <w:p w14:paraId="4C588E35" w14:textId="77777777" w:rsidR="00675288" w:rsidRPr="00B96CAA" w:rsidRDefault="00675288" w:rsidP="00675288">
      <w:pPr>
        <w:rPr>
          <w:rFonts w:cs="Times New Roman"/>
          <w:szCs w:val="24"/>
        </w:rPr>
      </w:pPr>
      <w:r w:rsidRPr="00B96CAA">
        <w:rPr>
          <w:rFonts w:cs="Times New Roman"/>
          <w:szCs w:val="24"/>
        </w:rPr>
        <w:tab/>
        <w:t xml:space="preserve">In deciding this case, the Court adhered to its traditional reluctance to interfere with presidential or congressional decisions concerning national security. As the Court explained, </w:t>
      </w:r>
      <w:proofErr w:type="gramStart"/>
      <w:r w:rsidRPr="00B96CAA">
        <w:rPr>
          <w:rFonts w:cs="Times New Roman"/>
          <w:szCs w:val="24"/>
        </w:rPr>
        <w:t>“ ‘</w:t>
      </w:r>
      <w:proofErr w:type="gramEnd"/>
      <w:r w:rsidRPr="00B96CAA">
        <w:rPr>
          <w:rFonts w:cs="Times New Roman"/>
          <w:szCs w:val="24"/>
        </w:rPr>
        <w:t>[a]</w:t>
      </w:r>
      <w:proofErr w:type="spellStart"/>
      <w:r w:rsidRPr="00B96CAA">
        <w:rPr>
          <w:rFonts w:cs="Times New Roman"/>
          <w:szCs w:val="24"/>
        </w:rPr>
        <w:t>ny</w:t>
      </w:r>
      <w:proofErr w:type="spellEnd"/>
      <w:r w:rsidRPr="00B96CAA">
        <w:rPr>
          <w:rFonts w:cs="Times New Roman"/>
          <w:szCs w:val="24"/>
        </w:rPr>
        <w:t xml:space="preserve"> rule of constitutional law that would inhibit the flexibility’ of the President ‘to respond to changing world conditions should be adopted only with the greatest caution,’ and our inquiry into matters of entry and national security is highly constrained,” quoting </w:t>
      </w:r>
      <w:r w:rsidRPr="00B96CAA">
        <w:rPr>
          <w:rFonts w:cs="Times New Roman"/>
          <w:i/>
          <w:szCs w:val="24"/>
        </w:rPr>
        <w:t xml:space="preserve">Mathews v. Diaz </w:t>
      </w:r>
      <w:r w:rsidRPr="00B96CAA">
        <w:rPr>
          <w:rFonts w:cs="Times New Roman"/>
          <w:szCs w:val="24"/>
        </w:rPr>
        <w:t xml:space="preserve">(1976). </w:t>
      </w:r>
    </w:p>
    <w:p w14:paraId="7C545999" w14:textId="77777777" w:rsidR="00675288" w:rsidRPr="00B96CAA" w:rsidRDefault="00675288" w:rsidP="00675288">
      <w:pPr>
        <w:rPr>
          <w:rFonts w:cs="Times New Roman"/>
          <w:szCs w:val="24"/>
        </w:rPr>
      </w:pPr>
      <w:r w:rsidRPr="00B96CAA">
        <w:rPr>
          <w:rFonts w:cs="Times New Roman"/>
          <w:szCs w:val="24"/>
        </w:rPr>
        <w:tab/>
        <w:t>In a concurring opinion, Justice Thomas expressed skepticism “that district courts have the authority to enter universal injunctions.” Such injunctions, he explained, did not emerge until the 1960s and remained rare until recently, when “they have exploded in popularity.” Thomas pointed out that England’s “system of equity did not contemplate universal injunctions” and that American courts historically “did not provide relief beyond parties to the case. If those injunctions advantaged nonparties, that benefit was merely incidental.” Although Thomas acknowledged that “[d]</w:t>
      </w:r>
      <w:proofErr w:type="spellStart"/>
      <w:r w:rsidRPr="00B96CAA">
        <w:rPr>
          <w:rFonts w:cs="Times New Roman"/>
          <w:szCs w:val="24"/>
        </w:rPr>
        <w:t>efenders</w:t>
      </w:r>
      <w:proofErr w:type="spellEnd"/>
      <w:r w:rsidRPr="00B96CAA">
        <w:rPr>
          <w:rFonts w:cs="Times New Roman"/>
          <w:szCs w:val="24"/>
        </w:rPr>
        <w:t xml:space="preserve"> of these injunctions contend that they ensure that individuals who did not challenge a law are treated the same as plaintiffs who did,” he contended that history and traditional limitations on equity and judicial power provided no justification for them.</w:t>
      </w:r>
    </w:p>
    <w:p w14:paraId="4AFE3453" w14:textId="44CCFCAF" w:rsidR="00675288" w:rsidRPr="00B96CAA" w:rsidRDefault="00675288" w:rsidP="00675288">
      <w:pPr>
        <w:rPr>
          <w:rFonts w:cs="Times New Roman"/>
          <w:szCs w:val="24"/>
        </w:rPr>
      </w:pPr>
      <w:r w:rsidRPr="00B96CAA">
        <w:rPr>
          <w:rFonts w:cs="Times New Roman"/>
          <w:szCs w:val="24"/>
        </w:rPr>
        <w:tab/>
        <w:t xml:space="preserve">Dissents by Justices Breyer </w:t>
      </w:r>
      <w:r w:rsidR="00287E1A">
        <w:rPr>
          <w:rFonts w:cs="Times New Roman"/>
          <w:szCs w:val="24"/>
        </w:rPr>
        <w:t xml:space="preserve">(joined by </w:t>
      </w:r>
      <w:r w:rsidRPr="00B96CAA">
        <w:rPr>
          <w:rFonts w:cs="Times New Roman"/>
          <w:szCs w:val="24"/>
        </w:rPr>
        <w:t>Kagan</w:t>
      </w:r>
      <w:r w:rsidR="00287E1A">
        <w:rPr>
          <w:rFonts w:cs="Times New Roman"/>
          <w:szCs w:val="24"/>
        </w:rPr>
        <w:t>, J.)</w:t>
      </w:r>
      <w:r w:rsidRPr="00B96CAA">
        <w:rPr>
          <w:rFonts w:cs="Times New Roman"/>
          <w:szCs w:val="24"/>
        </w:rPr>
        <w:t xml:space="preserve"> and Justice Sotomayor </w:t>
      </w:r>
      <w:r w:rsidR="00287E1A">
        <w:rPr>
          <w:rFonts w:cs="Times New Roman"/>
          <w:szCs w:val="24"/>
        </w:rPr>
        <w:t xml:space="preserve">(joined by </w:t>
      </w:r>
      <w:r w:rsidRPr="00B96CAA">
        <w:rPr>
          <w:rFonts w:cs="Times New Roman"/>
          <w:szCs w:val="24"/>
        </w:rPr>
        <w:t>Ginsburg</w:t>
      </w:r>
      <w:r w:rsidR="00287E1A">
        <w:rPr>
          <w:rFonts w:cs="Times New Roman"/>
          <w:szCs w:val="24"/>
        </w:rPr>
        <w:t>, J.)</w:t>
      </w:r>
      <w:r w:rsidRPr="00B96CAA">
        <w:rPr>
          <w:rFonts w:cs="Times New Roman"/>
          <w:szCs w:val="24"/>
        </w:rPr>
        <w:t xml:space="preserve"> argued that the proclamation was invalid under the Establishment Clause because it appeared to be motivated by anti-Muslim bias. Expressing concern that there was evidence suggesting that the proclamation’s waiver and exemption provisions were not being applied in a religiously neutral manner, Breyer contended that the case should be remanded for additional consideration. </w:t>
      </w:r>
      <w:r w:rsidR="00287E1A">
        <w:rPr>
          <w:rFonts w:cs="Times New Roman"/>
          <w:szCs w:val="24"/>
        </w:rPr>
        <w:t>He</w:t>
      </w:r>
      <w:r w:rsidRPr="00B96CAA">
        <w:rPr>
          <w:rFonts w:cs="Times New Roman"/>
          <w:szCs w:val="24"/>
        </w:rPr>
        <w:t xml:space="preserve"> stated, however, that, “[</w:t>
      </w:r>
      <w:proofErr w:type="spellStart"/>
      <w:r w:rsidRPr="00B96CAA">
        <w:rPr>
          <w:rFonts w:cs="Times New Roman"/>
          <w:szCs w:val="24"/>
        </w:rPr>
        <w:t>i</w:t>
      </w:r>
      <w:proofErr w:type="spellEnd"/>
      <w:r w:rsidRPr="00B96CAA">
        <w:rPr>
          <w:rFonts w:cs="Times New Roman"/>
          <w:szCs w:val="24"/>
        </w:rPr>
        <w:t xml:space="preserve">]f this Court must decide this question without this further litigation,” </w:t>
      </w:r>
      <w:r w:rsidR="00287E1A">
        <w:rPr>
          <w:rFonts w:cs="Times New Roman"/>
          <w:szCs w:val="24"/>
        </w:rPr>
        <w:t>he</w:t>
      </w:r>
      <w:r w:rsidRPr="00B96CAA">
        <w:rPr>
          <w:rFonts w:cs="Times New Roman"/>
          <w:szCs w:val="24"/>
        </w:rPr>
        <w:t xml:space="preserve"> would conclude that Trump’s public statements about the dangers of Muslim immigration would be sufficient to invalidate the proclamation.</w:t>
      </w:r>
    </w:p>
    <w:p w14:paraId="152A23CE" w14:textId="67112A46" w:rsidR="00675288" w:rsidRPr="00B96CAA" w:rsidRDefault="00675288" w:rsidP="00675288">
      <w:pPr>
        <w:ind w:firstLine="720"/>
        <w:rPr>
          <w:rFonts w:cs="Times New Roman"/>
          <w:szCs w:val="24"/>
        </w:rPr>
      </w:pPr>
      <w:r w:rsidRPr="00B96CAA">
        <w:rPr>
          <w:rFonts w:cs="Times New Roman"/>
          <w:szCs w:val="24"/>
        </w:rPr>
        <w:lastRenderedPageBreak/>
        <w:t xml:space="preserve">In </w:t>
      </w:r>
      <w:r w:rsidR="00287E1A">
        <w:rPr>
          <w:rFonts w:cs="Times New Roman"/>
          <w:szCs w:val="24"/>
        </w:rPr>
        <w:t>her</w:t>
      </w:r>
      <w:r w:rsidRPr="00B96CAA">
        <w:rPr>
          <w:rFonts w:cs="Times New Roman"/>
          <w:szCs w:val="24"/>
        </w:rPr>
        <w:t xml:space="preserve"> dissent, Sotomayor cited numerous statements of Trump concerning Muslim immigration, during and after his presidential campaign, as evidence of “a harrowing picture” of anti-Muslim bias that they believed to have found expression in his proclamation. In particular, </w:t>
      </w:r>
      <w:r w:rsidR="00287E1A">
        <w:rPr>
          <w:rFonts w:cs="Times New Roman"/>
          <w:szCs w:val="24"/>
        </w:rPr>
        <w:t>she</w:t>
      </w:r>
      <w:r w:rsidRPr="00B96CAA">
        <w:rPr>
          <w:rFonts w:cs="Times New Roman"/>
          <w:szCs w:val="24"/>
        </w:rPr>
        <w:t xml:space="preserve"> pointed out that he had pledged that, if elected, he would ban Muslims from entering the United States until the nation could assess the extent to which their entry posed a security threat. Sotomayor also quoted Trump as having declared during his campaign that “Islam hates us.”  </w:t>
      </w:r>
      <w:r w:rsidR="00287E1A">
        <w:rPr>
          <w:rFonts w:cs="Times New Roman"/>
          <w:szCs w:val="24"/>
        </w:rPr>
        <w:t>She</w:t>
      </w:r>
      <w:r w:rsidRPr="00B96CAA">
        <w:rPr>
          <w:rFonts w:cs="Times New Roman"/>
          <w:szCs w:val="24"/>
        </w:rPr>
        <w:t xml:space="preserve"> contended that the Court in its recent decision in </w:t>
      </w:r>
      <w:r w:rsidRPr="00B96CAA">
        <w:rPr>
          <w:rFonts w:cs="Times New Roman"/>
          <w:i/>
          <w:szCs w:val="24"/>
        </w:rPr>
        <w:t xml:space="preserve">Masterpiece Cakeshop v. Colorado Civil Rights Commission </w:t>
      </w:r>
      <w:r w:rsidRPr="00B96CAA">
        <w:rPr>
          <w:rFonts w:cs="Times New Roman"/>
          <w:szCs w:val="24"/>
        </w:rPr>
        <w:t xml:space="preserve">“found less persuasive official expressions of hostility and the failure to disavow them to be constitutionally significant.” Although Sotomayor declared that those statements would permit invalidation of the proclamation even pursuant to a rational basis standard of review, </w:t>
      </w:r>
      <w:r w:rsidR="00287E1A">
        <w:rPr>
          <w:rFonts w:cs="Times New Roman"/>
          <w:szCs w:val="24"/>
        </w:rPr>
        <w:t>she</w:t>
      </w:r>
      <w:r w:rsidRPr="00B96CAA">
        <w:rPr>
          <w:rFonts w:cs="Times New Roman"/>
          <w:szCs w:val="24"/>
        </w:rPr>
        <w:t xml:space="preserve"> described the Court’s use of this low level scrutiny as “perplexing” since the Court in other cases involving religious discrimination “has applied a more stringent standard of review.” The majority responded to this aspect of the dissent by stating that the dissent failed to provide authority for its argument that a higher level review than rational basis scrutiny should apply “in the national security and foreign affairs context.” Sotomayor found additional evidence of anti-Muslim bias insofar as </w:t>
      </w:r>
      <w:r w:rsidR="00287E1A">
        <w:rPr>
          <w:rFonts w:cs="Times New Roman"/>
          <w:szCs w:val="24"/>
        </w:rPr>
        <w:t>she</w:t>
      </w:r>
      <w:r w:rsidRPr="00B96CAA">
        <w:rPr>
          <w:rFonts w:cs="Times New Roman"/>
          <w:szCs w:val="24"/>
        </w:rPr>
        <w:t xml:space="preserve"> contended that “Congress has already erected a statutory scheme that fulfills the putative national security interests the Government now puts forth to justify the Proclamation.” </w:t>
      </w:r>
      <w:r w:rsidR="00287E1A">
        <w:rPr>
          <w:rFonts w:cs="Times New Roman"/>
          <w:szCs w:val="24"/>
        </w:rPr>
        <w:t>She</w:t>
      </w:r>
      <w:r w:rsidRPr="00B96CAA">
        <w:rPr>
          <w:rFonts w:cs="Times New Roman"/>
          <w:szCs w:val="24"/>
        </w:rPr>
        <w:t xml:space="preserve"> also averred that “there is reason to suspect that the Proclamation’s waiver program is nothing more than a sham” since so few waivers had been granted.</w:t>
      </w:r>
    </w:p>
    <w:p w14:paraId="0CAC4C89" w14:textId="7BAF03FE" w:rsidR="00675288" w:rsidRPr="00B96CAA" w:rsidRDefault="00675288" w:rsidP="00675288">
      <w:pPr>
        <w:ind w:firstLine="720"/>
        <w:rPr>
          <w:rFonts w:cs="Times New Roman"/>
          <w:szCs w:val="24"/>
        </w:rPr>
      </w:pPr>
      <w:r w:rsidRPr="00B96CAA">
        <w:rPr>
          <w:rFonts w:cs="Times New Roman"/>
          <w:szCs w:val="24"/>
        </w:rPr>
        <w:t xml:space="preserve">Sotomayor found “stark parallels” between this case and </w:t>
      </w:r>
      <w:r w:rsidRPr="00B96CAA">
        <w:rPr>
          <w:rFonts w:cs="Times New Roman"/>
          <w:i/>
          <w:szCs w:val="24"/>
        </w:rPr>
        <w:t>Korematsu v. United States</w:t>
      </w:r>
      <w:r w:rsidRPr="00B96CAA">
        <w:rPr>
          <w:rFonts w:cs="Times New Roman"/>
          <w:szCs w:val="24"/>
        </w:rPr>
        <w:t xml:space="preserve"> (1944) insofar as both were based upon injurious racial classifications and “rooted in dangerous stereotypes about…a particular </w:t>
      </w:r>
      <w:proofErr w:type="spellStart"/>
      <w:r w:rsidRPr="00B96CAA">
        <w:rPr>
          <w:rFonts w:cs="Times New Roman"/>
          <w:szCs w:val="24"/>
        </w:rPr>
        <w:t>groups’s</w:t>
      </w:r>
      <w:proofErr w:type="spellEnd"/>
      <w:r w:rsidRPr="00B96CAA">
        <w:rPr>
          <w:rFonts w:cs="Times New Roman"/>
          <w:szCs w:val="24"/>
        </w:rPr>
        <w:t xml:space="preserve"> supposed inability to assimilate and desire to harm the United States.” In responding to these allegations, the majority opinion formally overruled </w:t>
      </w:r>
      <w:r w:rsidRPr="00B96CAA">
        <w:rPr>
          <w:rFonts w:cs="Times New Roman"/>
          <w:i/>
          <w:szCs w:val="24"/>
        </w:rPr>
        <w:t>Korematsu</w:t>
      </w:r>
      <w:r w:rsidRPr="00B96CAA">
        <w:rPr>
          <w:rFonts w:cs="Times New Roman"/>
          <w:szCs w:val="24"/>
        </w:rPr>
        <w:t>, which it described as “gravely wrong the day it was decided,” but contended that “</w:t>
      </w:r>
      <w:r w:rsidRPr="00B96CAA">
        <w:rPr>
          <w:rFonts w:cs="Times New Roman"/>
          <w:i/>
          <w:szCs w:val="24"/>
        </w:rPr>
        <w:t xml:space="preserve">Korematsu </w:t>
      </w:r>
      <w:r w:rsidRPr="00B96CAA">
        <w:rPr>
          <w:rFonts w:cs="Times New Roman"/>
          <w:szCs w:val="24"/>
        </w:rPr>
        <w:t>has nothing to do with this case. The forcible relocation of U.S. citizens to concentration camps, solely and explicitly on the basis of race, is objectively unlawful and outside the scope of Presidential authority.”</w:t>
      </w:r>
    </w:p>
    <w:p w14:paraId="4900EE2C" w14:textId="77777777" w:rsidR="00675288" w:rsidRPr="00B96CAA" w:rsidRDefault="00675288" w:rsidP="00675288">
      <w:pPr>
        <w:spacing w:after="0" w:line="240" w:lineRule="auto"/>
        <w:rPr>
          <w:rFonts w:cs="Times New Roman"/>
          <w:szCs w:val="24"/>
        </w:rPr>
      </w:pPr>
      <w:r w:rsidRPr="00B96CAA">
        <w:rPr>
          <w:rFonts w:cs="Times New Roman"/>
          <w:szCs w:val="24"/>
        </w:rPr>
        <w:br w:type="page"/>
      </w:r>
    </w:p>
    <w:p w14:paraId="43BDF5FC" w14:textId="7DEA6A1E" w:rsidR="00675288" w:rsidRPr="00B96CAA" w:rsidRDefault="00675288" w:rsidP="00675288">
      <w:pPr>
        <w:pStyle w:val="Heading1"/>
        <w:rPr>
          <w:rStyle w:val="Heading1Char"/>
          <w:rFonts w:cs="Times New Roman"/>
          <w:szCs w:val="24"/>
        </w:rPr>
      </w:pPr>
      <w:bookmarkStart w:id="28" w:name="_Toc16886244"/>
      <w:r w:rsidRPr="00B96CAA">
        <w:rPr>
          <w:rFonts w:cs="Times New Roman"/>
          <w:szCs w:val="24"/>
        </w:rPr>
        <w:lastRenderedPageBreak/>
        <w:t>Chapter 7</w:t>
      </w:r>
      <w:r w:rsidR="007201FD" w:rsidRPr="00B96CAA">
        <w:rPr>
          <w:rFonts w:cs="Times New Roman"/>
          <w:szCs w:val="24"/>
        </w:rPr>
        <w:t>.</w:t>
      </w:r>
      <w:r w:rsidRPr="00B96CAA">
        <w:rPr>
          <w:rFonts w:cs="Times New Roman"/>
          <w:szCs w:val="24"/>
        </w:rPr>
        <w:t xml:space="preserve"> Limits on State Power. </w:t>
      </w:r>
      <w:r w:rsidR="007201FD" w:rsidRPr="00B96CAA">
        <w:rPr>
          <w:rFonts w:cs="Times New Roman"/>
          <w:szCs w:val="24"/>
        </w:rPr>
        <w:t xml:space="preserve">Part </w:t>
      </w:r>
      <w:r w:rsidRPr="00B96CAA">
        <w:rPr>
          <w:rFonts w:cs="Times New Roman"/>
          <w:szCs w:val="24"/>
        </w:rPr>
        <w:t>II</w:t>
      </w:r>
      <w:r w:rsidR="007201FD" w:rsidRPr="00B96CAA">
        <w:rPr>
          <w:rFonts w:cs="Times New Roman"/>
          <w:szCs w:val="24"/>
        </w:rPr>
        <w:t>,</w:t>
      </w:r>
      <w:r w:rsidRPr="00B96CAA">
        <w:rPr>
          <w:rFonts w:cs="Times New Roman"/>
          <w:szCs w:val="24"/>
        </w:rPr>
        <w:t xml:space="preserve"> The Dormant Commerce Clause</w:t>
      </w:r>
      <w:r w:rsidR="00666C91" w:rsidRPr="00B96CAA">
        <w:rPr>
          <w:rFonts w:cs="Times New Roman"/>
          <w:szCs w:val="24"/>
        </w:rPr>
        <w:t>,</w:t>
      </w:r>
      <w:r w:rsidRPr="00B96CAA">
        <w:rPr>
          <w:rStyle w:val="Heading1Char"/>
          <w:rFonts w:cs="Times New Roman"/>
          <w:szCs w:val="24"/>
        </w:rPr>
        <w:t xml:space="preserve"> </w:t>
      </w:r>
      <w:r w:rsidR="00666C91" w:rsidRPr="00B96CAA">
        <w:rPr>
          <w:rStyle w:val="Heading1Char"/>
          <w:rFonts w:cs="Times New Roman"/>
          <w:b/>
          <w:szCs w:val="24"/>
        </w:rPr>
        <w:t>Section G</w:t>
      </w:r>
      <w:bookmarkEnd w:id="28"/>
    </w:p>
    <w:p w14:paraId="6992A2E1" w14:textId="7737F07F" w:rsidR="00675288" w:rsidRPr="00B96CAA" w:rsidRDefault="00675288" w:rsidP="00675288">
      <w:pPr>
        <w:rPr>
          <w:rFonts w:eastAsia="Century Schoolbook" w:cs="Times New Roman"/>
          <w:i/>
          <w:szCs w:val="24"/>
        </w:rPr>
      </w:pPr>
      <w:r w:rsidRPr="00B96CAA">
        <w:rPr>
          <w:rFonts w:eastAsia="Century Schoolbook" w:cs="Times New Roman"/>
          <w:i/>
          <w:szCs w:val="24"/>
        </w:rPr>
        <w:t>[After the last sentence on page 522 insert a new heading: G. The Dormant Commerce Clause and State Taxation of Commerce.]</w:t>
      </w:r>
    </w:p>
    <w:p w14:paraId="397F85E1" w14:textId="77777777" w:rsidR="00675288" w:rsidRPr="00B96CAA" w:rsidRDefault="00675288" w:rsidP="00675288">
      <w:pPr>
        <w:pStyle w:val="Heading2"/>
        <w:rPr>
          <w:rFonts w:eastAsia="Century Schoolbook" w:cs="Times New Roman"/>
          <w:szCs w:val="24"/>
        </w:rPr>
      </w:pPr>
      <w:bookmarkStart w:id="29" w:name="_Toc16886245"/>
      <w:r w:rsidRPr="00B96CAA">
        <w:rPr>
          <w:rFonts w:eastAsia="Century Schoolbook" w:cs="Times New Roman"/>
          <w:szCs w:val="24"/>
        </w:rPr>
        <w:t>G. The Dormant Commerce Clause and State Taxation of Commerce.</w:t>
      </w:r>
      <w:bookmarkEnd w:id="29"/>
    </w:p>
    <w:p w14:paraId="6C3FD10B" w14:textId="77777777" w:rsidR="00675288" w:rsidRPr="00B96CAA" w:rsidRDefault="00675288" w:rsidP="00675288">
      <w:pPr>
        <w:pStyle w:val="Heading3"/>
        <w:jc w:val="center"/>
        <w:rPr>
          <w:rFonts w:eastAsia="Century Schoolbook" w:cs="Times New Roman"/>
          <w:szCs w:val="24"/>
        </w:rPr>
      </w:pPr>
      <w:bookmarkStart w:id="30" w:name="_Toc16886246"/>
      <w:r w:rsidRPr="00B96CAA">
        <w:rPr>
          <w:rFonts w:eastAsia="Century Schoolbook" w:cs="Times New Roman"/>
          <w:szCs w:val="24"/>
        </w:rPr>
        <w:t xml:space="preserve">Note: </w:t>
      </w:r>
      <w:r w:rsidRPr="00B96CAA">
        <w:rPr>
          <w:rFonts w:eastAsia="Century Schoolbook" w:cs="Times New Roman"/>
          <w:i/>
          <w:szCs w:val="24"/>
        </w:rPr>
        <w:t>South Dakota v. Wayfair</w:t>
      </w:r>
      <w:r w:rsidRPr="00B96CAA">
        <w:rPr>
          <w:rFonts w:eastAsia="Century Schoolbook" w:cs="Times New Roman"/>
          <w:szCs w:val="24"/>
        </w:rPr>
        <w:t xml:space="preserve"> (2018)</w:t>
      </w:r>
      <w:bookmarkEnd w:id="30"/>
    </w:p>
    <w:p w14:paraId="674377B3" w14:textId="77777777" w:rsidR="00675288" w:rsidRPr="00B96CAA" w:rsidRDefault="00675288" w:rsidP="00675288">
      <w:pPr>
        <w:ind w:firstLine="720"/>
        <w:rPr>
          <w:rFonts w:eastAsia="Century Schoolbook" w:cs="Times New Roman"/>
          <w:szCs w:val="24"/>
        </w:rPr>
      </w:pPr>
      <w:r w:rsidRPr="00B96CAA">
        <w:rPr>
          <w:rFonts w:eastAsia="Century Schoolbook" w:cs="Times New Roman"/>
          <w:szCs w:val="24"/>
        </w:rPr>
        <w:t xml:space="preserve">South Dakota, taxes in-state retail sales of goods and services.  North Carolina and many other states do the same.  In South Dakota, many but not all, Sellers are required to collect and remit the tax to the State.  Under Supreme Court precedent, sellers who lacked a physical presence in the state, could not be required to collect the state’s sales and services taxes.  See, </w:t>
      </w:r>
      <w:r w:rsidRPr="00B96CAA">
        <w:rPr>
          <w:rFonts w:eastAsia="Century Schoolbook" w:cs="Times New Roman"/>
          <w:i/>
          <w:szCs w:val="24"/>
        </w:rPr>
        <w:t xml:space="preserve">National </w:t>
      </w:r>
      <w:proofErr w:type="spellStart"/>
      <w:r w:rsidRPr="00B96CAA">
        <w:rPr>
          <w:rFonts w:eastAsia="Century Schoolbook" w:cs="Times New Roman"/>
          <w:i/>
          <w:szCs w:val="24"/>
        </w:rPr>
        <w:t>Bellas</w:t>
      </w:r>
      <w:proofErr w:type="spellEnd"/>
      <w:r w:rsidRPr="00B96CAA">
        <w:rPr>
          <w:rFonts w:eastAsia="Century Schoolbook" w:cs="Times New Roman"/>
          <w:i/>
          <w:szCs w:val="24"/>
        </w:rPr>
        <w:t xml:space="preserve"> Hess,</w:t>
      </w:r>
      <w:r w:rsidRPr="00B96CAA">
        <w:rPr>
          <w:rFonts w:eastAsia="Century Schoolbook" w:cs="Times New Roman"/>
          <w:szCs w:val="24"/>
        </w:rPr>
        <w:t xml:space="preserve"> </w:t>
      </w:r>
      <w:r w:rsidRPr="00B96CAA">
        <w:rPr>
          <w:rFonts w:eastAsia="Century Schoolbook" w:cs="Times New Roman"/>
          <w:i/>
          <w:szCs w:val="24"/>
        </w:rPr>
        <w:t xml:space="preserve">Inc. </w:t>
      </w:r>
      <w:r w:rsidRPr="00B96CAA">
        <w:rPr>
          <w:rFonts w:eastAsia="Century Schoolbook" w:cs="Times New Roman"/>
          <w:szCs w:val="24"/>
        </w:rPr>
        <w:t>v.</w:t>
      </w:r>
      <w:r w:rsidRPr="00B96CAA">
        <w:rPr>
          <w:rFonts w:eastAsia="Century Schoolbook" w:cs="Times New Roman"/>
          <w:i/>
          <w:szCs w:val="24"/>
        </w:rPr>
        <w:t xml:space="preserve"> Department of Revenue of Ill.</w:t>
      </w:r>
      <w:r w:rsidRPr="00B96CAA">
        <w:rPr>
          <w:rFonts w:eastAsia="Century Schoolbook" w:cs="Times New Roman"/>
          <w:szCs w:val="24"/>
        </w:rPr>
        <w:t>, 386 U. S. 753, and</w:t>
      </w:r>
      <w:r w:rsidRPr="00B96CAA">
        <w:rPr>
          <w:rFonts w:eastAsia="Century Schoolbook" w:cs="Times New Roman"/>
          <w:i/>
          <w:szCs w:val="24"/>
        </w:rPr>
        <w:t xml:space="preserve"> Quill Corp. </w:t>
      </w:r>
      <w:r w:rsidRPr="00B96CAA">
        <w:rPr>
          <w:rFonts w:eastAsia="Century Schoolbook" w:cs="Times New Roman"/>
          <w:szCs w:val="24"/>
        </w:rPr>
        <w:t>v.</w:t>
      </w:r>
      <w:r w:rsidRPr="00B96CAA">
        <w:rPr>
          <w:rFonts w:eastAsia="Century Schoolbook" w:cs="Times New Roman"/>
          <w:i/>
          <w:szCs w:val="24"/>
        </w:rPr>
        <w:t xml:space="preserve"> North Dakota</w:t>
      </w:r>
      <w:r w:rsidRPr="00B96CAA">
        <w:rPr>
          <w:rFonts w:eastAsia="Century Schoolbook" w:cs="Times New Roman"/>
          <w:szCs w:val="24"/>
        </w:rPr>
        <w:t xml:space="preserve">, 504 U. S. 298.  For such sales, in-state consumers were responsible for paying a use tax at the same rate, but compliance had been “notoriously low.” </w:t>
      </w:r>
    </w:p>
    <w:p w14:paraId="2253ECAA" w14:textId="2B10F09D" w:rsidR="00675288" w:rsidRPr="00B96CAA" w:rsidRDefault="00675288" w:rsidP="00675288">
      <w:pPr>
        <w:ind w:firstLine="720"/>
        <w:rPr>
          <w:rFonts w:eastAsia="Century Schoolbook" w:cs="Times New Roman"/>
          <w:szCs w:val="24"/>
        </w:rPr>
      </w:pPr>
      <w:r w:rsidRPr="00B96CAA">
        <w:rPr>
          <w:rFonts w:eastAsia="Century Schoolbook" w:cs="Times New Roman"/>
          <w:szCs w:val="24"/>
        </w:rPr>
        <w:t>With the rise of internet sales, many sellers lacked a physical presence in the state.  The estimate that the Court cited was that “</w:t>
      </w:r>
      <w:proofErr w:type="spellStart"/>
      <w:r w:rsidRPr="00B96CAA">
        <w:rPr>
          <w:rFonts w:eastAsia="Century Schoolbook" w:cs="Times New Roman"/>
          <w:i/>
          <w:szCs w:val="24"/>
        </w:rPr>
        <w:t>Bellas</w:t>
      </w:r>
      <w:proofErr w:type="spellEnd"/>
      <w:r w:rsidRPr="00B96CAA">
        <w:rPr>
          <w:rFonts w:eastAsia="Century Schoolbook" w:cs="Times New Roman"/>
          <w:i/>
          <w:szCs w:val="24"/>
        </w:rPr>
        <w:t xml:space="preserve"> Hess</w:t>
      </w:r>
      <w:r w:rsidRPr="00B96CAA">
        <w:rPr>
          <w:rFonts w:eastAsia="Century Schoolbook" w:cs="Times New Roman"/>
          <w:szCs w:val="24"/>
        </w:rPr>
        <w:t xml:space="preserve"> and </w:t>
      </w:r>
      <w:r w:rsidRPr="00B96CAA">
        <w:rPr>
          <w:rFonts w:eastAsia="Century Schoolbook" w:cs="Times New Roman"/>
          <w:i/>
          <w:szCs w:val="24"/>
        </w:rPr>
        <w:t>Quill</w:t>
      </w:r>
      <w:r w:rsidRPr="00B96CAA">
        <w:rPr>
          <w:rFonts w:eastAsia="Century Schoolbook" w:cs="Times New Roman"/>
          <w:szCs w:val="24"/>
        </w:rPr>
        <w:t xml:space="preserve"> cause[d] South Dakota to lose be-tween $48 and $58 million annually in sales tax revenue. </w:t>
      </w:r>
    </w:p>
    <w:p w14:paraId="08AAF90C" w14:textId="77777777" w:rsidR="00675288" w:rsidRPr="00B96CAA" w:rsidRDefault="00675288" w:rsidP="00675288">
      <w:pPr>
        <w:ind w:firstLine="720"/>
        <w:rPr>
          <w:rFonts w:eastAsia="Century Schoolbook" w:cs="Times New Roman"/>
          <w:szCs w:val="24"/>
        </w:rPr>
      </w:pPr>
      <w:r w:rsidRPr="00B96CAA">
        <w:rPr>
          <w:rFonts w:eastAsia="Century Schoolbook" w:cs="Times New Roman"/>
          <w:szCs w:val="24"/>
        </w:rPr>
        <w:t xml:space="preserve">Concerned about the erosion of its sales tax base and corresponding loss of critical funding for state and local services, the South Dakota Legislature enacted a law requiring out-of-state sellers to collect and remit sales tax “as if the seller had a physical presence in the State.” The Act covers only sellers that, on an annual basis, deliver more than $100,000 of goods or services into the State or engage in 200 or more separate transactions for the delivery of goods or services into the State. </w:t>
      </w:r>
    </w:p>
    <w:p w14:paraId="2220F92F" w14:textId="77777777" w:rsidR="00675288" w:rsidRPr="00B96CAA" w:rsidRDefault="00675288" w:rsidP="00675288">
      <w:pPr>
        <w:ind w:firstLine="720"/>
        <w:rPr>
          <w:rFonts w:eastAsia="Century Schoolbook" w:cs="Times New Roman"/>
          <w:szCs w:val="24"/>
        </w:rPr>
      </w:pPr>
      <w:r w:rsidRPr="00B96CAA">
        <w:rPr>
          <w:rFonts w:eastAsia="Century Schoolbook" w:cs="Times New Roman"/>
          <w:szCs w:val="24"/>
        </w:rPr>
        <w:t>Wayfair and other top retailers (respondents) had no employees or real estate or qualifying physical presence in South Dakota, but each met the Act’s minimum sales or transactions requirement.  Nonetheless, they did not collect the State’s sales tax. South Dakota filed suit in state court, seeking a declaration that the Act’s requirements are valid and applicable to respondents and also sought an injunction requiring Wayfair and the other respondents to register for licenses to collect and remit the sales tax.  The state courts held the act unconstitutionally violated the Dormant Commerce Clause.</w:t>
      </w:r>
    </w:p>
    <w:p w14:paraId="56341973" w14:textId="70AA926D" w:rsidR="00580E78" w:rsidRPr="00580E78" w:rsidRDefault="00580E78" w:rsidP="00580E78">
      <w:pPr>
        <w:ind w:firstLine="720"/>
        <w:rPr>
          <w:rFonts w:eastAsia="Century Schoolbook" w:cs="Times New Roman"/>
          <w:szCs w:val="24"/>
        </w:rPr>
      </w:pPr>
      <w:r>
        <w:rPr>
          <w:rFonts w:eastAsia="Century Schoolbook" w:cs="Times New Roman"/>
          <w:szCs w:val="24"/>
        </w:rPr>
        <w:t xml:space="preserve">The Supreme Court reversed. </w:t>
      </w:r>
      <w:r w:rsidRPr="00580E78">
        <w:rPr>
          <w:rFonts w:eastAsia="Century Schoolbook" w:cs="Times New Roman"/>
          <w:szCs w:val="24"/>
        </w:rPr>
        <w:t>Kennedy delivered the opinion of the Court in which Thomas, Ginsberg, Alito, and Gorsuch</w:t>
      </w:r>
      <w:r w:rsidR="00DB4423">
        <w:rPr>
          <w:rFonts w:eastAsia="Century Schoolbook" w:cs="Times New Roman"/>
          <w:szCs w:val="24"/>
        </w:rPr>
        <w:t>, JJ.,</w:t>
      </w:r>
      <w:r w:rsidRPr="00580E78">
        <w:rPr>
          <w:rFonts w:eastAsia="Century Schoolbook" w:cs="Times New Roman"/>
          <w:szCs w:val="24"/>
        </w:rPr>
        <w:t xml:space="preserve"> joined. Thomas</w:t>
      </w:r>
      <w:r w:rsidR="00DB4423">
        <w:rPr>
          <w:rFonts w:eastAsia="Century Schoolbook" w:cs="Times New Roman"/>
          <w:szCs w:val="24"/>
        </w:rPr>
        <w:t xml:space="preserve">, J., </w:t>
      </w:r>
      <w:r w:rsidRPr="00580E78">
        <w:rPr>
          <w:rFonts w:eastAsia="Century Schoolbook" w:cs="Times New Roman"/>
          <w:szCs w:val="24"/>
        </w:rPr>
        <w:t>and Gorsuch</w:t>
      </w:r>
      <w:r w:rsidR="00DB4423">
        <w:rPr>
          <w:rFonts w:eastAsia="Century Schoolbook" w:cs="Times New Roman"/>
          <w:szCs w:val="24"/>
        </w:rPr>
        <w:t xml:space="preserve">, J., </w:t>
      </w:r>
      <w:r w:rsidRPr="00580E78">
        <w:rPr>
          <w:rFonts w:eastAsia="Century Schoolbook" w:cs="Times New Roman"/>
          <w:szCs w:val="24"/>
        </w:rPr>
        <w:t>filed concurring opinions. Roberts</w:t>
      </w:r>
      <w:r w:rsidR="00DB4423">
        <w:rPr>
          <w:rFonts w:eastAsia="Century Schoolbook" w:cs="Times New Roman"/>
          <w:szCs w:val="24"/>
        </w:rPr>
        <w:t xml:space="preserve">, C.J., </w:t>
      </w:r>
      <w:r w:rsidRPr="00580E78">
        <w:rPr>
          <w:rFonts w:eastAsia="Century Schoolbook" w:cs="Times New Roman"/>
          <w:szCs w:val="24"/>
        </w:rPr>
        <w:t xml:space="preserve">dissented in an opinion joined by Breyer, Kagan, </w:t>
      </w:r>
      <w:r w:rsidR="00DB4423">
        <w:rPr>
          <w:rFonts w:eastAsia="Century Schoolbook" w:cs="Times New Roman"/>
          <w:szCs w:val="24"/>
        </w:rPr>
        <w:t xml:space="preserve">and </w:t>
      </w:r>
      <w:r w:rsidRPr="00580E78">
        <w:rPr>
          <w:rFonts w:eastAsia="Century Schoolbook" w:cs="Times New Roman"/>
          <w:szCs w:val="24"/>
        </w:rPr>
        <w:t>Sotomayor</w:t>
      </w:r>
      <w:r w:rsidR="00DB4423">
        <w:rPr>
          <w:rFonts w:eastAsia="Century Schoolbook" w:cs="Times New Roman"/>
          <w:szCs w:val="24"/>
        </w:rPr>
        <w:t>, JJ.</w:t>
      </w:r>
    </w:p>
    <w:p w14:paraId="66043FE9" w14:textId="3E42E6FB" w:rsidR="00675288" w:rsidRPr="00B96CAA" w:rsidRDefault="00675288" w:rsidP="00675288">
      <w:pPr>
        <w:ind w:firstLine="720"/>
        <w:rPr>
          <w:rFonts w:eastAsia="Century Schoolbook" w:cs="Times New Roman"/>
          <w:szCs w:val="24"/>
        </w:rPr>
      </w:pPr>
      <w:r w:rsidRPr="00B96CAA">
        <w:rPr>
          <w:rFonts w:eastAsia="Century Schoolbook" w:cs="Times New Roman"/>
          <w:szCs w:val="24"/>
        </w:rPr>
        <w:t xml:space="preserve">The Court explained that the Dormant Commerce Clause limits state regulation of interstate commerce.  States “1. may not discriminate against interstate commerce and” 2. they may not unduly burden interstate commerce.”  These principles also “animate” the Court’s precedents on taxation of interstate commerce. As applied to state taxation of interstate commerce, the Court has set out four guiding principles. Taxes “will be sustained so long as they </w:t>
      </w:r>
      <w:r w:rsidRPr="00B96CAA">
        <w:rPr>
          <w:rFonts w:eastAsia="Century Schoolbook" w:cs="Times New Roman"/>
          <w:szCs w:val="24"/>
        </w:rPr>
        <w:lastRenderedPageBreak/>
        <w:t xml:space="preserve">(1) apply to an activity with a substantial nexus with the taxing State, (2) are fairly apportioned, (3) do not discriminate against interstate commerce, and (4) are fairly related to the services the State provides.”  </w:t>
      </w:r>
    </w:p>
    <w:p w14:paraId="4C14C48E" w14:textId="77777777" w:rsidR="00675288" w:rsidRPr="00B96CAA" w:rsidRDefault="00675288" w:rsidP="00675288">
      <w:pPr>
        <w:ind w:firstLine="720"/>
        <w:rPr>
          <w:rFonts w:eastAsia="Century Schoolbook" w:cs="Times New Roman"/>
          <w:szCs w:val="24"/>
        </w:rPr>
      </w:pPr>
      <w:r w:rsidRPr="00B96CAA">
        <w:rPr>
          <w:rFonts w:eastAsia="Century Schoolbook" w:cs="Times New Roman"/>
          <w:szCs w:val="24"/>
        </w:rPr>
        <w:t xml:space="preserve">The Court rejected the physical presence rule and overruled cases requiring it.  It said each year the rule became more and more divorced from economic reality.  It imposed significant revenue losses on the states.  It favored many out of state sellers over sellers located within the states.  It created market distortions and creates </w:t>
      </w:r>
      <w:proofErr w:type="gramStart"/>
      <w:r w:rsidRPr="00B96CAA">
        <w:rPr>
          <w:rFonts w:eastAsia="Century Schoolbook" w:cs="Times New Roman"/>
          <w:szCs w:val="24"/>
        </w:rPr>
        <w:t>an</w:t>
      </w:r>
      <w:proofErr w:type="gramEnd"/>
      <w:r w:rsidRPr="00B96CAA">
        <w:rPr>
          <w:rFonts w:eastAsia="Century Schoolbook" w:cs="Times New Roman"/>
          <w:szCs w:val="24"/>
        </w:rPr>
        <w:t xml:space="preserve"> tax shelter for businesses that sell to state consumers but that limit their physical presence in the state. It held that </w:t>
      </w:r>
    </w:p>
    <w:p w14:paraId="53C55F8A" w14:textId="77777777" w:rsidR="00675288" w:rsidRPr="00B96CAA" w:rsidRDefault="00675288" w:rsidP="00675288">
      <w:pPr>
        <w:ind w:left="720"/>
        <w:rPr>
          <w:rFonts w:eastAsia="Century Schoolbook" w:cs="Times New Roman"/>
          <w:szCs w:val="24"/>
        </w:rPr>
      </w:pPr>
      <w:r w:rsidRPr="00B96CAA">
        <w:rPr>
          <w:rFonts w:eastAsia="Century Schoolbook" w:cs="Times New Roman"/>
          <w:szCs w:val="24"/>
        </w:rPr>
        <w:t xml:space="preserve">“Modern e-commerce does not align analytically with a test that relies on the sort of physical presence defined in </w:t>
      </w:r>
      <w:r w:rsidRPr="00B96CAA">
        <w:rPr>
          <w:rFonts w:eastAsia="Century Schoolbook" w:cs="Times New Roman"/>
          <w:i/>
          <w:szCs w:val="24"/>
        </w:rPr>
        <w:t>Quill</w:t>
      </w:r>
      <w:r w:rsidRPr="00B96CAA">
        <w:rPr>
          <w:rFonts w:eastAsia="Century Schoolbook" w:cs="Times New Roman"/>
          <w:szCs w:val="24"/>
        </w:rPr>
        <w:t>.”</w:t>
      </w:r>
    </w:p>
    <w:p w14:paraId="55EF16CF" w14:textId="77777777" w:rsidR="00675288" w:rsidRPr="00B96CAA" w:rsidRDefault="00675288" w:rsidP="00675288">
      <w:pPr>
        <w:ind w:left="720"/>
        <w:rPr>
          <w:rFonts w:eastAsia="Century Schoolbook" w:cs="Times New Roman"/>
          <w:szCs w:val="24"/>
        </w:rPr>
      </w:pPr>
      <w:r w:rsidRPr="00B96CAA">
        <w:rPr>
          <w:rFonts w:eastAsia="Century Schoolbook" w:cs="Times New Roman"/>
          <w:szCs w:val="24"/>
        </w:rPr>
        <w:t xml:space="preserve">“Between targeted advertising and instant access to most consumers via any internet-enabled device, ‘a business may be present in a State in a meaningful way without’ that presence ‘being physical in the traditional sense of the term.’ … A virtual showroom can show far more inventory, in far more detail, and with greater opportunities for consumer and seller interaction than might be possible for local stores. Yet the continuous and pervasive virtual presence of retailers today is, under </w:t>
      </w:r>
      <w:r w:rsidRPr="00B96CAA">
        <w:rPr>
          <w:rFonts w:eastAsia="Century Schoolbook" w:cs="Times New Roman"/>
          <w:i/>
          <w:szCs w:val="24"/>
        </w:rPr>
        <w:t>Quill</w:t>
      </w:r>
      <w:r w:rsidRPr="00B96CAA">
        <w:rPr>
          <w:rFonts w:eastAsia="Century Schoolbook" w:cs="Times New Roman"/>
          <w:szCs w:val="24"/>
        </w:rPr>
        <w:t>, simply irrelevant.”</w:t>
      </w:r>
    </w:p>
    <w:p w14:paraId="504AEFB2" w14:textId="77777777" w:rsidR="00675288" w:rsidRPr="00B96CAA" w:rsidRDefault="00675288" w:rsidP="00675288">
      <w:pPr>
        <w:ind w:firstLine="720"/>
        <w:rPr>
          <w:rFonts w:eastAsia="Century Schoolbook" w:cs="Times New Roman"/>
          <w:szCs w:val="24"/>
        </w:rPr>
      </w:pPr>
      <w:r w:rsidRPr="00B96CAA">
        <w:rPr>
          <w:rFonts w:eastAsia="Century Schoolbook" w:cs="Times New Roman"/>
          <w:szCs w:val="24"/>
        </w:rPr>
        <w:t xml:space="preserve">In addition as applied the physical presence rule undermined the role of the states in the federal system.  “The physical presence rule as defined and enforced in </w:t>
      </w:r>
      <w:proofErr w:type="spellStart"/>
      <w:r w:rsidRPr="00B96CAA">
        <w:rPr>
          <w:rFonts w:eastAsia="Century Schoolbook" w:cs="Times New Roman"/>
          <w:i/>
          <w:szCs w:val="24"/>
        </w:rPr>
        <w:t>Bellas</w:t>
      </w:r>
      <w:proofErr w:type="spellEnd"/>
      <w:r w:rsidRPr="00B96CAA">
        <w:rPr>
          <w:rFonts w:eastAsia="Century Schoolbook" w:cs="Times New Roman"/>
          <w:i/>
          <w:szCs w:val="24"/>
        </w:rPr>
        <w:t xml:space="preserve"> Hess </w:t>
      </w:r>
      <w:r w:rsidRPr="00B96CAA">
        <w:rPr>
          <w:rFonts w:eastAsia="Century Schoolbook" w:cs="Times New Roman"/>
          <w:szCs w:val="24"/>
        </w:rPr>
        <w:t>and</w:t>
      </w:r>
      <w:r w:rsidRPr="00B96CAA">
        <w:rPr>
          <w:rFonts w:eastAsia="Century Schoolbook" w:cs="Times New Roman"/>
          <w:i/>
          <w:szCs w:val="24"/>
        </w:rPr>
        <w:t xml:space="preserve"> Quill </w:t>
      </w:r>
      <w:r w:rsidRPr="00B96CAA">
        <w:rPr>
          <w:rFonts w:eastAsia="Century Schoolbook" w:cs="Times New Roman"/>
          <w:szCs w:val="24"/>
        </w:rPr>
        <w:t xml:space="preserve">is not just a technical legal problem—it is an extraordinary imposition by the Judiciary on States’ authority to collect taxes and perform critical public functions.”  For example, the Court noted, citing South Dakota’s brief: </w:t>
      </w:r>
    </w:p>
    <w:p w14:paraId="65DA5A1A" w14:textId="77777777" w:rsidR="00675288" w:rsidRPr="00B96CAA" w:rsidRDefault="00675288" w:rsidP="00675288">
      <w:pPr>
        <w:ind w:left="720"/>
        <w:rPr>
          <w:rFonts w:eastAsia="Century Schoolbook" w:cs="Times New Roman"/>
          <w:szCs w:val="24"/>
        </w:rPr>
      </w:pPr>
      <w:r w:rsidRPr="00B96CAA">
        <w:rPr>
          <w:rFonts w:eastAsia="Century Schoolbook" w:cs="Times New Roman"/>
          <w:szCs w:val="24"/>
        </w:rPr>
        <w:t>“Wayfair offers to sell a vast selection of furnishings. Its advertising seeks to create an image of beautiful, peaceful homes, but it also says that “‘[o]</w:t>
      </w:r>
      <w:proofErr w:type="spellStart"/>
      <w:r w:rsidRPr="00B96CAA">
        <w:rPr>
          <w:rFonts w:eastAsia="Century Schoolbook" w:cs="Times New Roman"/>
          <w:szCs w:val="24"/>
        </w:rPr>
        <w:t>ne</w:t>
      </w:r>
      <w:proofErr w:type="spellEnd"/>
      <w:r w:rsidRPr="00B96CAA">
        <w:rPr>
          <w:rFonts w:eastAsia="Century Schoolbook" w:cs="Times New Roman"/>
          <w:szCs w:val="24"/>
        </w:rPr>
        <w:t xml:space="preserve"> of the best things about buying through Wayfair is that we do not have to charge sales tax.’” What Wayfair ignores in its subtle offer to assist in tax evasion is that creating a dream home assumes solvent state and local governments. State taxes fund the police and fire departments that protect the homes containing their customers’ furniture and ensure goods are safely delivered; maintain the public roads and municipal services that allow communication with and access to customers; support the “sound local banking institutions to support credit transactions [and] courts to ensure collection of the purchase price,”</w:t>
      </w:r>
    </w:p>
    <w:p w14:paraId="04BF7A81" w14:textId="77777777" w:rsidR="00675288" w:rsidRPr="00B96CAA" w:rsidRDefault="00675288" w:rsidP="00675288">
      <w:pPr>
        <w:ind w:firstLine="720"/>
        <w:rPr>
          <w:rFonts w:eastAsia="Century Schoolbook" w:cs="Times New Roman"/>
          <w:szCs w:val="24"/>
        </w:rPr>
      </w:pPr>
      <w:r w:rsidRPr="00B96CAA">
        <w:rPr>
          <w:rFonts w:eastAsia="Century Schoolbook" w:cs="Times New Roman"/>
          <w:szCs w:val="24"/>
        </w:rPr>
        <w:t xml:space="preserve"> In addition, it was unfair and unjust to in-state and out-of-state competitors who must pay the tax.</w:t>
      </w:r>
    </w:p>
    <w:p w14:paraId="40CB5F49" w14:textId="77777777" w:rsidR="00675288" w:rsidRPr="00B96CAA" w:rsidRDefault="00675288" w:rsidP="00675288">
      <w:pPr>
        <w:ind w:firstLine="720"/>
        <w:rPr>
          <w:rFonts w:eastAsia="Century Schoolbook" w:cs="Times New Roman"/>
          <w:szCs w:val="24"/>
        </w:rPr>
      </w:pPr>
      <w:r w:rsidRPr="00B96CAA">
        <w:rPr>
          <w:rFonts w:eastAsia="Century Schoolbook" w:cs="Times New Roman"/>
          <w:szCs w:val="24"/>
        </w:rPr>
        <w:t xml:space="preserve">The four dissenters argued for stare decisis but also pointed out policy arguments for leaving the matter to Congress.  Chief Justice Roberts, joined by Justice Breyer, Sotomayor, and Kagan dissented.  They agreed that </w:t>
      </w:r>
      <w:r w:rsidRPr="00B96CAA">
        <w:rPr>
          <w:rFonts w:eastAsia="Century Schoolbook" w:cs="Times New Roman"/>
          <w:i/>
          <w:szCs w:val="24"/>
        </w:rPr>
        <w:t xml:space="preserve">Quill </w:t>
      </w:r>
      <w:r w:rsidRPr="00B96CAA">
        <w:rPr>
          <w:rFonts w:eastAsia="Century Schoolbook" w:cs="Times New Roman"/>
          <w:szCs w:val="24"/>
        </w:rPr>
        <w:t xml:space="preserve">had been wrongly decided, but held the matter of fixing the problems should be left up to Congress.  The physical presence rule had become intertwined </w:t>
      </w:r>
      <w:r w:rsidRPr="00B96CAA">
        <w:rPr>
          <w:rFonts w:eastAsia="Century Schoolbook" w:cs="Times New Roman"/>
          <w:szCs w:val="24"/>
        </w:rPr>
        <w:lastRenderedPageBreak/>
        <w:t>with commercial decisions, and provided a bonus to small retailers.  Adjusting the competing interest should be left to the Congress, which of course, has the constitutional power to change the Court’s dormant commerce decisions:</w:t>
      </w:r>
    </w:p>
    <w:p w14:paraId="551344BE" w14:textId="77777777" w:rsidR="00675288" w:rsidRPr="00B96CAA" w:rsidRDefault="00675288" w:rsidP="00675288">
      <w:pPr>
        <w:spacing w:line="241" w:lineRule="auto"/>
        <w:ind w:left="720" w:right="1680"/>
        <w:jc w:val="both"/>
        <w:rPr>
          <w:rFonts w:eastAsia="Century Schoolbook" w:cs="Times New Roman"/>
          <w:szCs w:val="24"/>
        </w:rPr>
      </w:pPr>
      <w:r w:rsidRPr="00B96CAA">
        <w:rPr>
          <w:rFonts w:eastAsia="Century Schoolbook" w:cs="Times New Roman"/>
          <w:szCs w:val="24"/>
        </w:rPr>
        <w:t>“E-commerce has grown into a significant and vibrant part of our national economy against the backdrop of established rules, including the physical-presence rule. Any alteration to those rules with the potential to disrupt the development of such a critical segment of the economy should be undertaken by Congress. The Court should not act on this important question of current economic policy, solely to expiate a mistake made over 50 years ago. …</w:t>
      </w:r>
    </w:p>
    <w:p w14:paraId="5F4102F7" w14:textId="77777777" w:rsidR="00675288" w:rsidRPr="00B96CAA" w:rsidRDefault="00675288" w:rsidP="00675288">
      <w:pPr>
        <w:spacing w:line="241" w:lineRule="auto"/>
        <w:ind w:right="1680" w:firstLine="720"/>
        <w:jc w:val="both"/>
        <w:rPr>
          <w:rFonts w:eastAsia="Century Schoolbook" w:cs="Times New Roman"/>
          <w:szCs w:val="24"/>
        </w:rPr>
      </w:pPr>
      <w:r w:rsidRPr="00B96CAA">
        <w:rPr>
          <w:rFonts w:eastAsia="Century Schoolbook" w:cs="Times New Roman"/>
          <w:szCs w:val="24"/>
        </w:rPr>
        <w:t xml:space="preserve">Chief Justice Roberts noted the myriad state and local taxes which </w:t>
      </w:r>
      <w:proofErr w:type="spellStart"/>
      <w:r w:rsidRPr="00B96CAA">
        <w:rPr>
          <w:rFonts w:eastAsia="Century Schoolbook" w:cs="Times New Roman"/>
          <w:szCs w:val="24"/>
        </w:rPr>
        <w:t>which</w:t>
      </w:r>
      <w:proofErr w:type="spellEnd"/>
      <w:r w:rsidRPr="00B96CAA">
        <w:rPr>
          <w:rFonts w:eastAsia="Century Schoolbook" w:cs="Times New Roman"/>
          <w:szCs w:val="24"/>
        </w:rPr>
        <w:t xml:space="preserve"> small retailers must now comply:</w:t>
      </w:r>
    </w:p>
    <w:p w14:paraId="5C1BA4AE" w14:textId="77777777" w:rsidR="00675288" w:rsidRPr="00B96CAA" w:rsidRDefault="00675288" w:rsidP="00675288">
      <w:pPr>
        <w:spacing w:line="241" w:lineRule="auto"/>
        <w:ind w:left="720" w:right="1680"/>
        <w:jc w:val="both"/>
        <w:rPr>
          <w:rFonts w:eastAsia="Century Schoolbook" w:cs="Times New Roman"/>
          <w:szCs w:val="24"/>
        </w:rPr>
      </w:pPr>
      <w:r w:rsidRPr="00B96CAA">
        <w:rPr>
          <w:rFonts w:eastAsia="Century Schoolbook" w:cs="Times New Roman"/>
          <w:szCs w:val="24"/>
        </w:rPr>
        <w:t>“The burden will fall disproportionately on small businesses. One vitalizing effect of the Internet has been connecting small, even ‘micro’ businesses to potential buyers across the Nation. People starting a business selling their embroidered pillowcases or carved decoys can offer their wares throughout the country—but probably not if they have to figure out the tax due on every sale. See Sales Taxes Report 22 (indicating that “costs will likely increase the most for businesses that do not have established legal teams, software systems, or outside counsel to assist with compliance related questions”). And the software said to facilitate compliance is still in its infancy, and its capabilities and expense are subject to debate. … The Court’s decision today will surely have the effect of dampening opportunities for commerce in a broad range of new markets.’</w:t>
      </w:r>
    </w:p>
    <w:p w14:paraId="2B899715" w14:textId="77777777" w:rsidR="00675288" w:rsidRPr="00B96CAA" w:rsidRDefault="00675288" w:rsidP="00675288">
      <w:pPr>
        <w:spacing w:line="241" w:lineRule="auto"/>
        <w:ind w:right="1680" w:firstLine="720"/>
        <w:jc w:val="both"/>
        <w:rPr>
          <w:rFonts w:eastAsia="Century Schoolbook" w:cs="Times New Roman"/>
          <w:szCs w:val="24"/>
        </w:rPr>
      </w:pPr>
      <w:r w:rsidRPr="00B96CAA">
        <w:rPr>
          <w:rFonts w:eastAsia="Century Schoolbook" w:cs="Times New Roman"/>
          <w:szCs w:val="24"/>
        </w:rPr>
        <w:t xml:space="preserve">Congress, the dissenters argued is far better suited to adjusting the complex policy choices:  </w:t>
      </w:r>
    </w:p>
    <w:p w14:paraId="5875BB5F" w14:textId="77777777" w:rsidR="00675288" w:rsidRPr="00B96CAA" w:rsidRDefault="00675288" w:rsidP="00675288">
      <w:pPr>
        <w:spacing w:line="239" w:lineRule="auto"/>
        <w:ind w:left="720" w:right="1680"/>
        <w:jc w:val="both"/>
        <w:rPr>
          <w:rFonts w:eastAsia="Century Schoolbook" w:cs="Times New Roman"/>
          <w:szCs w:val="24"/>
        </w:rPr>
      </w:pPr>
      <w:r w:rsidRPr="00B96CAA">
        <w:rPr>
          <w:rFonts w:eastAsia="Century Schoolbook" w:cs="Times New Roman"/>
          <w:szCs w:val="24"/>
        </w:rPr>
        <w:t xml:space="preserve">“Here, after investigation, Congress could reasonably decide that current trends might sufficiently expand tax revenues, obviating the need for an abrupt policy shift with potentially adverse consequences for e-commerce. Or Congress might decide that the benefits of allowing States to secure additional tax revenue outweigh any foreseeable harm to e-commerce. Or Congress might elect to accommodate these competing interests, by, for example, allowing States to tax Internet sales by remote retailers only if revenue from such sales exceeds some set amount per year. See Goodlatte Brief 12–14 (providing varied examples of how Congress could address sales tax collection). In any event, Congress can focus directly on current policy concerns rather than past legal mistakes. Congress can also provide a nuanced answer to the troubling question whether any change will have retroactive effect.” </w:t>
      </w:r>
    </w:p>
    <w:p w14:paraId="37A214F0" w14:textId="38C7568B" w:rsidR="00B42F0F" w:rsidRDefault="00675288">
      <w:pPr>
        <w:rPr>
          <w:rFonts w:cs="Times New Roman"/>
          <w:szCs w:val="24"/>
        </w:rPr>
      </w:pPr>
      <w:r w:rsidRPr="00B96CAA">
        <w:rPr>
          <w:rFonts w:cs="Times New Roman"/>
          <w:szCs w:val="24"/>
        </w:rPr>
        <w:br w:type="page"/>
      </w:r>
      <w:r w:rsidR="00B42F0F">
        <w:rPr>
          <w:rFonts w:cs="Times New Roman"/>
          <w:szCs w:val="24"/>
        </w:rPr>
        <w:lastRenderedPageBreak/>
        <w:br w:type="page"/>
      </w:r>
    </w:p>
    <w:p w14:paraId="606F051F" w14:textId="26BBD4D2" w:rsidR="00FA2E49" w:rsidRPr="008A50B5" w:rsidRDefault="00FA2E49" w:rsidP="007542A0">
      <w:pPr>
        <w:pStyle w:val="Heading1"/>
      </w:pPr>
      <w:bookmarkStart w:id="31" w:name="_Toc16886247"/>
      <w:r w:rsidRPr="008A50B5">
        <w:lastRenderedPageBreak/>
        <w:t xml:space="preserve">Chapter 8. The Incorporation of the Bill of Rights. Part </w:t>
      </w:r>
      <w:r w:rsidRPr="00FA2E49">
        <w:t>VI-C-3</w:t>
      </w:r>
      <w:r>
        <w:t xml:space="preserve">, </w:t>
      </w:r>
      <w:r w:rsidRPr="00FA2E49">
        <w:t xml:space="preserve">Incorporation After </w:t>
      </w:r>
      <w:r w:rsidRPr="00210B7D">
        <w:rPr>
          <w:i/>
        </w:rPr>
        <w:t>Duncan</w:t>
      </w:r>
      <w:r w:rsidRPr="00FA2E49">
        <w:t>.</w:t>
      </w:r>
      <w:bookmarkEnd w:id="31"/>
    </w:p>
    <w:p w14:paraId="1E245D4A" w14:textId="77777777" w:rsidR="00FA2E49" w:rsidRPr="008A50B5" w:rsidRDefault="00FA2E49" w:rsidP="00FA2E49">
      <w:pPr>
        <w:autoSpaceDE w:val="0"/>
        <w:autoSpaceDN w:val="0"/>
        <w:adjustRightInd w:val="0"/>
        <w:rPr>
          <w:rFonts w:cs="Times New Roman"/>
          <w:szCs w:val="24"/>
        </w:rPr>
      </w:pPr>
      <w:r w:rsidRPr="008A50B5">
        <w:rPr>
          <w:rFonts w:cs="Times New Roman"/>
          <w:szCs w:val="24"/>
        </w:rPr>
        <w:t>[On page 631, replace current #9 with the following.]</w:t>
      </w:r>
    </w:p>
    <w:p w14:paraId="6549700B" w14:textId="24EDEC11" w:rsidR="00FA2E49" w:rsidRPr="008A50B5" w:rsidRDefault="00FA2E49" w:rsidP="00FA2E49">
      <w:pPr>
        <w:autoSpaceDE w:val="0"/>
        <w:autoSpaceDN w:val="0"/>
        <w:adjustRightInd w:val="0"/>
        <w:rPr>
          <w:rFonts w:cs="Times New Roman"/>
          <w:szCs w:val="24"/>
        </w:rPr>
      </w:pPr>
      <w:r w:rsidRPr="008A50B5">
        <w:rPr>
          <w:rFonts w:cs="Times New Roman"/>
          <w:szCs w:val="24"/>
        </w:rPr>
        <w:t xml:space="preserve">9. </w:t>
      </w:r>
      <w:proofErr w:type="spellStart"/>
      <w:r w:rsidRPr="008A50B5">
        <w:rPr>
          <w:rFonts w:cs="Times New Roman"/>
          <w:i/>
          <w:szCs w:val="24"/>
        </w:rPr>
        <w:t>Timbs</w:t>
      </w:r>
      <w:proofErr w:type="spellEnd"/>
      <w:r w:rsidRPr="008A50B5">
        <w:rPr>
          <w:rFonts w:cs="Times New Roman"/>
          <w:i/>
          <w:szCs w:val="24"/>
        </w:rPr>
        <w:t xml:space="preserve"> v. Indiana</w:t>
      </w:r>
      <w:r w:rsidRPr="008A50B5">
        <w:rPr>
          <w:rFonts w:cs="Times New Roman"/>
          <w:szCs w:val="24"/>
        </w:rPr>
        <w:t xml:space="preserve"> (2019). The court incorporated the Excessive Fines Clause as a limit on the states under the Due Process Clause. Eight people join the majority opinion. Justice Thomas </w:t>
      </w:r>
      <w:proofErr w:type="spellStart"/>
      <w:r w:rsidRPr="008A50B5">
        <w:rPr>
          <w:rFonts w:cs="Times New Roman"/>
          <w:szCs w:val="24"/>
        </w:rPr>
        <w:t>concur</w:t>
      </w:r>
      <w:r w:rsidR="00DF0B5E">
        <w:rPr>
          <w:rFonts w:cs="Times New Roman"/>
          <w:szCs w:val="24"/>
        </w:rPr>
        <w:t>ed</w:t>
      </w:r>
      <w:proofErr w:type="spellEnd"/>
      <w:r w:rsidRPr="008A50B5">
        <w:rPr>
          <w:rFonts w:cs="Times New Roman"/>
          <w:szCs w:val="24"/>
        </w:rPr>
        <w:t xml:space="preserve"> in the judgment, again basing incorporation on the Privileges or Immunities Clause.</w:t>
      </w:r>
    </w:p>
    <w:p w14:paraId="4D5C3FDF" w14:textId="77777777" w:rsidR="00FA2E49" w:rsidRPr="008A50B5" w:rsidRDefault="00FA2E49" w:rsidP="00FA2E49">
      <w:pPr>
        <w:autoSpaceDE w:val="0"/>
        <w:autoSpaceDN w:val="0"/>
        <w:adjustRightInd w:val="0"/>
        <w:rPr>
          <w:rFonts w:cs="Times New Roman"/>
          <w:szCs w:val="24"/>
        </w:rPr>
      </w:pPr>
      <w:r w:rsidRPr="008A50B5">
        <w:rPr>
          <w:rFonts w:cs="Times New Roman"/>
          <w:szCs w:val="24"/>
        </w:rPr>
        <w:t xml:space="preserve">10. The Supreme Court has so far not held that </w:t>
      </w:r>
      <w:r w:rsidRPr="008A50B5">
        <w:rPr>
          <w:rFonts w:cs="Times New Roman"/>
          <w:i/>
          <w:iCs/>
          <w:szCs w:val="24"/>
        </w:rPr>
        <w:t xml:space="preserve">all </w:t>
      </w:r>
      <w:r w:rsidRPr="008A50B5">
        <w:rPr>
          <w:rFonts w:cs="Times New Roman"/>
          <w:szCs w:val="24"/>
        </w:rPr>
        <w:t>rights in the Bill of Rights limit state power. Those the Court has not yet applied to the states include the right to civil jury trial, grand jury indictment, and the protection against quartering troops</w:t>
      </w:r>
    </w:p>
    <w:p w14:paraId="670B1ABC" w14:textId="77777777" w:rsidR="00FA2E49" w:rsidRPr="008A50B5" w:rsidRDefault="00FA2E49" w:rsidP="00FA2E49">
      <w:pPr>
        <w:autoSpaceDE w:val="0"/>
        <w:autoSpaceDN w:val="0"/>
        <w:adjustRightInd w:val="0"/>
        <w:jc w:val="center"/>
        <w:rPr>
          <w:rFonts w:cs="Times New Roman"/>
          <w:szCs w:val="24"/>
        </w:rPr>
      </w:pPr>
      <w:r>
        <w:rPr>
          <w:rFonts w:cs="Times New Roman"/>
          <w:szCs w:val="24"/>
        </w:rPr>
        <w:t>* * *</w:t>
      </w:r>
    </w:p>
    <w:p w14:paraId="09E23742" w14:textId="3E01C273" w:rsidR="00FA2E49" w:rsidRPr="00FA2E49" w:rsidRDefault="00FA2E49" w:rsidP="007542A0">
      <w:pPr>
        <w:pStyle w:val="Heading2"/>
      </w:pPr>
      <w:bookmarkStart w:id="32" w:name="_Toc16886248"/>
      <w:r w:rsidRPr="00FA2E49">
        <w:t>Part IX-</w:t>
      </w:r>
      <w:r w:rsidR="007542A0">
        <w:t>B</w:t>
      </w:r>
      <w:r w:rsidRPr="00FA2E49">
        <w:t>. The Roberts Court and Incorporation</w:t>
      </w:r>
      <w:bookmarkEnd w:id="32"/>
    </w:p>
    <w:p w14:paraId="1586662D" w14:textId="1BF2326F" w:rsidR="00FA2E49" w:rsidRPr="008A50B5" w:rsidRDefault="00FA2E49" w:rsidP="00FA2E49">
      <w:pPr>
        <w:rPr>
          <w:rFonts w:cs="Times New Roman"/>
          <w:szCs w:val="24"/>
        </w:rPr>
      </w:pPr>
      <w:r>
        <w:rPr>
          <w:rFonts w:cs="Times New Roman"/>
          <w:szCs w:val="24"/>
        </w:rPr>
        <w:t>[</w:t>
      </w:r>
      <w:r w:rsidRPr="0042724A">
        <w:rPr>
          <w:rFonts w:cs="Times New Roman"/>
          <w:i/>
          <w:szCs w:val="24"/>
        </w:rPr>
        <w:t>Insert on page 650, after “I dissent.”</w:t>
      </w:r>
      <w:r>
        <w:rPr>
          <w:rFonts w:cs="Times New Roman"/>
          <w:szCs w:val="24"/>
        </w:rPr>
        <w:t>]</w:t>
      </w:r>
    </w:p>
    <w:p w14:paraId="0DC5541B" w14:textId="5B095DAA" w:rsidR="00FA2E49" w:rsidRPr="008A50B5" w:rsidRDefault="00FA2E49" w:rsidP="006C08C8">
      <w:pPr>
        <w:pStyle w:val="Heading2"/>
        <w:jc w:val="center"/>
      </w:pPr>
      <w:bookmarkStart w:id="33" w:name="_Toc16886249"/>
      <w:r w:rsidRPr="00FA2E49">
        <w:t>Part B.</w:t>
      </w:r>
      <w:r>
        <w:t xml:space="preserve"> </w:t>
      </w:r>
      <w:r w:rsidRPr="008A50B5">
        <w:t xml:space="preserve">Note: </w:t>
      </w:r>
      <w:bookmarkStart w:id="34" w:name="_Hlk16841592"/>
      <w:proofErr w:type="spellStart"/>
      <w:r w:rsidRPr="008A50B5">
        <w:rPr>
          <w:i/>
        </w:rPr>
        <w:t>Timbs</w:t>
      </w:r>
      <w:proofErr w:type="spellEnd"/>
      <w:r w:rsidRPr="008A50B5">
        <w:rPr>
          <w:i/>
        </w:rPr>
        <w:t xml:space="preserve"> v. Indiana</w:t>
      </w:r>
      <w:r w:rsidRPr="008A50B5">
        <w:t xml:space="preserve"> (2019)</w:t>
      </w:r>
      <w:bookmarkEnd w:id="34"/>
      <w:r w:rsidRPr="008A50B5">
        <w:t>.</w:t>
      </w:r>
      <w:bookmarkEnd w:id="33"/>
    </w:p>
    <w:p w14:paraId="155DB182" w14:textId="526CE927" w:rsidR="00FA2E49" w:rsidRPr="008A50B5" w:rsidRDefault="00FA2E49" w:rsidP="00FA2E49">
      <w:pPr>
        <w:rPr>
          <w:rFonts w:cs="Times New Roman"/>
          <w:szCs w:val="24"/>
        </w:rPr>
      </w:pPr>
      <w:r w:rsidRPr="008A50B5">
        <w:rPr>
          <w:rFonts w:cs="Times New Roman"/>
          <w:szCs w:val="24"/>
        </w:rPr>
        <w:tab/>
      </w:r>
      <w:r w:rsidR="009F3046">
        <w:rPr>
          <w:rFonts w:cs="Times New Roman"/>
          <w:szCs w:val="24"/>
        </w:rPr>
        <w:t xml:space="preserve">In </w:t>
      </w:r>
      <w:proofErr w:type="spellStart"/>
      <w:r w:rsidR="009F3046" w:rsidRPr="009F3046">
        <w:rPr>
          <w:i/>
        </w:rPr>
        <w:t>Timbs</w:t>
      </w:r>
      <w:proofErr w:type="spellEnd"/>
      <w:r w:rsidR="009F3046" w:rsidRPr="009F3046">
        <w:rPr>
          <w:i/>
        </w:rPr>
        <w:t xml:space="preserve"> v. Indiana</w:t>
      </w:r>
      <w:r w:rsidR="009F3046" w:rsidRPr="009F3046">
        <w:t xml:space="preserve"> (2019)</w:t>
      </w:r>
      <w:r w:rsidR="009F3046">
        <w:t>, a near-unanimous Court incorporated t</w:t>
      </w:r>
      <w:r w:rsidR="009F3046" w:rsidRPr="009F3046">
        <w:t xml:space="preserve">he Excessive Fines Clause </w:t>
      </w:r>
      <w:r w:rsidR="009F3046">
        <w:t>of the 8</w:t>
      </w:r>
      <w:r w:rsidR="009F3046" w:rsidRPr="009F3046">
        <w:rPr>
          <w:vertAlign w:val="superscript"/>
        </w:rPr>
        <w:t>th</w:t>
      </w:r>
      <w:r w:rsidR="009F3046">
        <w:t xml:space="preserve"> Amendment into the Due Process Clause of the 14</w:t>
      </w:r>
      <w:r w:rsidR="009F3046" w:rsidRPr="009F3046">
        <w:rPr>
          <w:vertAlign w:val="superscript"/>
        </w:rPr>
        <w:t>th</w:t>
      </w:r>
      <w:r w:rsidR="009F3046">
        <w:t xml:space="preserve"> Amendment. </w:t>
      </w:r>
      <w:proofErr w:type="spellStart"/>
      <w:r w:rsidRPr="008A50B5">
        <w:rPr>
          <w:rFonts w:cs="Times New Roman"/>
          <w:szCs w:val="24"/>
        </w:rPr>
        <w:t>Timbs</w:t>
      </w:r>
      <w:proofErr w:type="spellEnd"/>
      <w:r w:rsidRPr="008A50B5">
        <w:rPr>
          <w:rFonts w:cs="Times New Roman"/>
          <w:szCs w:val="24"/>
        </w:rPr>
        <w:t xml:space="preserve"> pled guilty in Indiana state court to the offense of dealing in a controlled substance and conspiracy to engage in theft. When he was arrested, the police seized </w:t>
      </w:r>
      <w:proofErr w:type="spellStart"/>
      <w:r w:rsidRPr="008A50B5">
        <w:rPr>
          <w:rFonts w:cs="Times New Roman"/>
          <w:szCs w:val="24"/>
        </w:rPr>
        <w:t>Timbs</w:t>
      </w:r>
      <w:proofErr w:type="spellEnd"/>
      <w:r w:rsidRPr="008A50B5">
        <w:rPr>
          <w:rFonts w:cs="Times New Roman"/>
          <w:szCs w:val="24"/>
        </w:rPr>
        <w:t xml:space="preserve">’ Land Rover. </w:t>
      </w:r>
      <w:proofErr w:type="spellStart"/>
      <w:r w:rsidRPr="008A50B5">
        <w:rPr>
          <w:rFonts w:cs="Times New Roman"/>
          <w:szCs w:val="24"/>
        </w:rPr>
        <w:t>Timbs</w:t>
      </w:r>
      <w:proofErr w:type="spellEnd"/>
      <w:r w:rsidRPr="008A50B5">
        <w:rPr>
          <w:rFonts w:cs="Times New Roman"/>
          <w:szCs w:val="24"/>
        </w:rPr>
        <w:t xml:space="preserve"> had purchased it for $42,000 with money he had received from an insurance policy when his father died. The state sought forfeiture of the vehicle, but the Indiana trial court refused to order the forfeiture. It noted that the maximum fine for </w:t>
      </w:r>
      <w:proofErr w:type="spellStart"/>
      <w:r w:rsidRPr="008A50B5">
        <w:rPr>
          <w:rFonts w:cs="Times New Roman"/>
          <w:szCs w:val="24"/>
        </w:rPr>
        <w:t>Timbs</w:t>
      </w:r>
      <w:proofErr w:type="spellEnd"/>
      <w:r w:rsidRPr="008A50B5">
        <w:rPr>
          <w:rFonts w:cs="Times New Roman"/>
          <w:szCs w:val="24"/>
        </w:rPr>
        <w:t>’ crime was $10,000 and it found the requested forfeiture would have violated the Excessive Fines Clause of the 8</w:t>
      </w:r>
      <w:r w:rsidRPr="008A50B5">
        <w:rPr>
          <w:rFonts w:cs="Times New Roman"/>
          <w:szCs w:val="24"/>
          <w:vertAlign w:val="superscript"/>
        </w:rPr>
        <w:t>th</w:t>
      </w:r>
      <w:r w:rsidRPr="008A50B5">
        <w:rPr>
          <w:rFonts w:cs="Times New Roman"/>
          <w:szCs w:val="24"/>
        </w:rPr>
        <w:t xml:space="preserve"> Amendment as applied to the states under the Due Process Clause of the 14</w:t>
      </w:r>
      <w:r w:rsidRPr="008A50B5">
        <w:rPr>
          <w:rFonts w:cs="Times New Roman"/>
          <w:szCs w:val="24"/>
          <w:vertAlign w:val="superscript"/>
        </w:rPr>
        <w:t>th</w:t>
      </w:r>
      <w:r w:rsidRPr="008A50B5">
        <w:rPr>
          <w:rFonts w:cs="Times New Roman"/>
          <w:szCs w:val="24"/>
        </w:rPr>
        <w:t xml:space="preserve"> Amendment. Though the Indiana Court of appeals affirmed, the Supreme Court of Indiana reversed </w:t>
      </w:r>
      <w:proofErr w:type="gramStart"/>
      <w:r w:rsidRPr="008A50B5">
        <w:rPr>
          <w:rFonts w:cs="Times New Roman"/>
          <w:szCs w:val="24"/>
        </w:rPr>
        <w:t>on the ground that</w:t>
      </w:r>
      <w:proofErr w:type="gramEnd"/>
      <w:r w:rsidRPr="008A50B5">
        <w:rPr>
          <w:rFonts w:cs="Times New Roman"/>
          <w:szCs w:val="24"/>
        </w:rPr>
        <w:t xml:space="preserve"> the excessive fines clause had not been incorporated as a limit on the states. </w:t>
      </w:r>
    </w:p>
    <w:p w14:paraId="466F82BF" w14:textId="77777777" w:rsidR="00FA2E49" w:rsidRPr="008A50B5" w:rsidRDefault="00FA2E49" w:rsidP="00FA2E49">
      <w:pPr>
        <w:autoSpaceDE w:val="0"/>
        <w:autoSpaceDN w:val="0"/>
        <w:adjustRightInd w:val="0"/>
        <w:rPr>
          <w:rFonts w:cs="Times New Roman"/>
          <w:szCs w:val="24"/>
        </w:rPr>
      </w:pPr>
      <w:r w:rsidRPr="008A50B5">
        <w:rPr>
          <w:rFonts w:cs="Times New Roman"/>
          <w:szCs w:val="24"/>
          <w:lang w:val="en-CA"/>
        </w:rPr>
        <w:fldChar w:fldCharType="begin"/>
      </w:r>
      <w:r w:rsidRPr="008A50B5">
        <w:rPr>
          <w:rFonts w:cs="Times New Roman"/>
          <w:szCs w:val="24"/>
          <w:lang w:val="en-CA"/>
        </w:rPr>
        <w:instrText xml:space="preserve"> SEQ CHAPTER \h \r 1</w:instrText>
      </w:r>
      <w:r w:rsidRPr="008A50B5">
        <w:rPr>
          <w:rFonts w:cs="Times New Roman"/>
          <w:szCs w:val="24"/>
          <w:lang w:val="en-CA"/>
        </w:rPr>
        <w:fldChar w:fldCharType="end"/>
      </w:r>
      <w:r w:rsidRPr="008A50B5">
        <w:rPr>
          <w:rFonts w:cs="Times New Roman"/>
          <w:szCs w:val="24"/>
        </w:rPr>
        <w:tab/>
        <w:t xml:space="preserve">Justice Ginsburg wrote for eight members of the Court. (Justice Thomas concurred in the judgment only, again arguing that the Privileges or Immunities Clause should be resurrected.) The Court’s opinion noted: </w:t>
      </w:r>
    </w:p>
    <w:p w14:paraId="3EF7ADE8" w14:textId="77777777" w:rsidR="00FA2E49" w:rsidRPr="008A50B5" w:rsidRDefault="00FA2E49" w:rsidP="00FA2E49">
      <w:pPr>
        <w:autoSpaceDE w:val="0"/>
        <w:autoSpaceDN w:val="0"/>
        <w:adjustRightInd w:val="0"/>
        <w:ind w:left="720" w:firstLine="720"/>
        <w:rPr>
          <w:rFonts w:cs="Times New Roman"/>
          <w:szCs w:val="24"/>
        </w:rPr>
      </w:pPr>
      <w:r w:rsidRPr="008A50B5">
        <w:rPr>
          <w:rFonts w:cs="Times New Roman"/>
          <w:szCs w:val="24"/>
        </w:rPr>
        <w:t xml:space="preserve">The constitutional Amendments adopted in the aftermath of the Civil War… fundamentally altered our country’s federal system. </w:t>
      </w:r>
      <w:r w:rsidRPr="008A50B5">
        <w:rPr>
          <w:rFonts w:cs="Times New Roman"/>
          <w:i/>
          <w:iCs/>
          <w:szCs w:val="24"/>
        </w:rPr>
        <w:t>McDonald</w:t>
      </w:r>
      <w:r w:rsidRPr="008A50B5">
        <w:rPr>
          <w:rFonts w:cs="Times New Roman"/>
          <w:szCs w:val="24"/>
        </w:rPr>
        <w:t xml:space="preserve"> v. Chicago (2010). With only “a handful” of exceptions, this Court has held that the Fourteenth Amendment’s Due Process Clause incorporates the protections contained in the Bill of Rights, rendering them applicable to the States.  </w:t>
      </w:r>
    </w:p>
    <w:p w14:paraId="3ED772ED" w14:textId="77777777" w:rsidR="00FA2E49" w:rsidRPr="008A50B5" w:rsidRDefault="00FA2E49" w:rsidP="00FA2E49">
      <w:pPr>
        <w:autoSpaceDE w:val="0"/>
        <w:autoSpaceDN w:val="0"/>
        <w:adjustRightInd w:val="0"/>
        <w:ind w:left="720" w:firstLine="720"/>
        <w:rPr>
          <w:rFonts w:cs="Times New Roman"/>
          <w:szCs w:val="24"/>
        </w:rPr>
      </w:pPr>
      <w:r w:rsidRPr="008A50B5">
        <w:rPr>
          <w:rFonts w:cs="Times New Roman"/>
          <w:szCs w:val="24"/>
        </w:rPr>
        <w:t xml:space="preserve">[T]he protection against excessive fines guards against abuses of government’s punitive or criminal law-enforcement authority. This safeguard, we hold, is ‘fundamental to our scheme of ordered liberty,’ with ‘dee[p] root[s] in [our] history and tradition.’ </w:t>
      </w:r>
      <w:r w:rsidRPr="008A50B5">
        <w:rPr>
          <w:rFonts w:cs="Times New Roman"/>
          <w:i/>
          <w:iCs/>
          <w:szCs w:val="24"/>
        </w:rPr>
        <w:t xml:space="preserve">McDonald </w:t>
      </w:r>
      <w:r w:rsidRPr="008A50B5">
        <w:rPr>
          <w:rFonts w:cs="Times New Roman"/>
          <w:szCs w:val="24"/>
        </w:rPr>
        <w:t xml:space="preserve">v. </w:t>
      </w:r>
      <w:r w:rsidRPr="008A50B5">
        <w:rPr>
          <w:rFonts w:cs="Times New Roman"/>
          <w:i/>
          <w:iCs/>
          <w:szCs w:val="24"/>
        </w:rPr>
        <w:t>Chicago</w:t>
      </w:r>
      <w:r w:rsidRPr="008A50B5">
        <w:rPr>
          <w:rFonts w:cs="Times New Roman"/>
          <w:szCs w:val="24"/>
        </w:rPr>
        <w:t xml:space="preserve">, (2010).” </w:t>
      </w:r>
    </w:p>
    <w:p w14:paraId="6A60B92C" w14:textId="77777777" w:rsidR="00FA2E49" w:rsidRPr="008A50B5" w:rsidRDefault="00FA2E49" w:rsidP="00FA2E49">
      <w:pPr>
        <w:autoSpaceDE w:val="0"/>
        <w:autoSpaceDN w:val="0"/>
        <w:adjustRightInd w:val="0"/>
        <w:rPr>
          <w:rFonts w:cs="Times New Roman"/>
          <w:szCs w:val="24"/>
        </w:rPr>
      </w:pPr>
      <w:r w:rsidRPr="008A50B5">
        <w:rPr>
          <w:rFonts w:cs="Times New Roman"/>
          <w:szCs w:val="24"/>
        </w:rPr>
        <w:lastRenderedPageBreak/>
        <w:tab/>
        <w:t>On that point, the Court cited a rich history of the excessive fines clause—running from the Magna Cara (1215) through the English Bill of Rights (1689), and early state Constitutions through the ratification of the 14</w:t>
      </w:r>
      <w:r w:rsidRPr="008A50B5">
        <w:rPr>
          <w:rFonts w:cs="Times New Roman"/>
          <w:szCs w:val="24"/>
          <w:vertAlign w:val="superscript"/>
        </w:rPr>
        <w:t>th</w:t>
      </w:r>
      <w:r w:rsidRPr="008A50B5">
        <w:rPr>
          <w:rFonts w:cs="Times New Roman"/>
          <w:szCs w:val="24"/>
        </w:rPr>
        <w:t xml:space="preserve"> Amendment, at which time 35 of 37 states expressly prohibited excessive fines. At the time of the opinion, all 50 states prohibited excessive fines. The Court’s decision incorporated the Excessive Fines Clause through the Due Process Clause of the Fourteenth Amendment.</w:t>
      </w:r>
    </w:p>
    <w:p w14:paraId="1BACCD57" w14:textId="46035DF1" w:rsidR="00FA2E49" w:rsidRDefault="00FA2E49" w:rsidP="00FA2E49">
      <w:pPr>
        <w:autoSpaceDE w:val="0"/>
        <w:autoSpaceDN w:val="0"/>
        <w:adjustRightInd w:val="0"/>
        <w:rPr>
          <w:rFonts w:cs="Times New Roman"/>
          <w:szCs w:val="24"/>
        </w:rPr>
      </w:pPr>
      <w:r w:rsidRPr="008A50B5">
        <w:rPr>
          <w:rFonts w:cs="Times New Roman"/>
          <w:szCs w:val="24"/>
        </w:rPr>
        <w:tab/>
        <w:t>The Court explained that it had held that the excessive fines clause “limits the government’s power to extract payments, whether in cash or in kind,” ‘as punishment for some offense.’” Once a clause was incorporated from the Bill of Rights, it noted that guarantees are “enforced against the States under the 14</w:t>
      </w:r>
      <w:r w:rsidRPr="008A50B5">
        <w:rPr>
          <w:rFonts w:cs="Times New Roman"/>
          <w:szCs w:val="24"/>
          <w:vertAlign w:val="superscript"/>
        </w:rPr>
        <w:t>th</w:t>
      </w:r>
      <w:r w:rsidRPr="008A50B5">
        <w:rPr>
          <w:rFonts w:cs="Times New Roman"/>
          <w:szCs w:val="24"/>
        </w:rPr>
        <w:t xml:space="preserve"> Amendment according to the same standards that protect those personal rights against federal encroachment.” The Court explained that “the sole exception” is our holding that the 6</w:t>
      </w:r>
      <w:r w:rsidRPr="008A50B5">
        <w:rPr>
          <w:rFonts w:cs="Times New Roman"/>
          <w:szCs w:val="24"/>
          <w:vertAlign w:val="superscript"/>
        </w:rPr>
        <w:t>th</w:t>
      </w:r>
      <w:r w:rsidRPr="008A50B5">
        <w:rPr>
          <w:rFonts w:cs="Times New Roman"/>
          <w:szCs w:val="24"/>
        </w:rPr>
        <w:t xml:space="preserve"> Amendment requires jury unanimity in federal, but not state, criminal proceedings. </w:t>
      </w:r>
      <w:r w:rsidRPr="008A50B5">
        <w:rPr>
          <w:rFonts w:cs="Times New Roman"/>
          <w:i/>
          <w:iCs/>
          <w:szCs w:val="24"/>
        </w:rPr>
        <w:t xml:space="preserve">Apodaca </w:t>
      </w:r>
      <w:r w:rsidRPr="008A50B5">
        <w:rPr>
          <w:rFonts w:cs="Times New Roman"/>
          <w:szCs w:val="24"/>
        </w:rPr>
        <w:t xml:space="preserve">v. </w:t>
      </w:r>
      <w:r w:rsidRPr="008A50B5">
        <w:rPr>
          <w:rFonts w:cs="Times New Roman"/>
          <w:i/>
          <w:iCs/>
          <w:szCs w:val="24"/>
        </w:rPr>
        <w:t>Oregon</w:t>
      </w:r>
      <w:r w:rsidRPr="008A50B5">
        <w:rPr>
          <w:rFonts w:cs="Times New Roman"/>
          <w:szCs w:val="24"/>
        </w:rPr>
        <w:t xml:space="preserve">, (1972).” The Court explained, that “exception to </w:t>
      </w:r>
      <w:proofErr w:type="spellStart"/>
      <w:r w:rsidRPr="008A50B5">
        <w:rPr>
          <w:rFonts w:cs="Times New Roman"/>
          <w:szCs w:val="24"/>
        </w:rPr>
        <w:t>th</w:t>
      </w:r>
      <w:proofErr w:type="spellEnd"/>
      <w:r w:rsidRPr="008A50B5">
        <w:rPr>
          <w:rFonts w:cs="Times New Roman"/>
          <w:szCs w:val="24"/>
        </w:rPr>
        <w:t xml:space="preserve">[e] general rule…was the result of an unusual division among the Justices,” and it “does not undermine the well-established rule that incorporated Bill of Rights protections apply identically to the States and the Federal Government,” again citing </w:t>
      </w:r>
      <w:r w:rsidRPr="008A50B5">
        <w:rPr>
          <w:rFonts w:cs="Times New Roman"/>
          <w:i/>
          <w:iCs/>
          <w:szCs w:val="24"/>
        </w:rPr>
        <w:t>McDonald</w:t>
      </w:r>
      <w:r w:rsidRPr="008A50B5">
        <w:rPr>
          <w:rFonts w:cs="Times New Roman"/>
          <w:szCs w:val="24"/>
        </w:rPr>
        <w:t>.</w:t>
      </w:r>
    </w:p>
    <w:p w14:paraId="0A37D1A0" w14:textId="215F0C96" w:rsidR="00FA2E49" w:rsidRDefault="00FA2E49">
      <w:pPr>
        <w:rPr>
          <w:rFonts w:cs="Times New Roman"/>
          <w:szCs w:val="24"/>
        </w:rPr>
      </w:pPr>
      <w:r>
        <w:rPr>
          <w:rFonts w:cs="Times New Roman"/>
          <w:szCs w:val="24"/>
        </w:rPr>
        <w:br w:type="page"/>
      </w:r>
    </w:p>
    <w:p w14:paraId="7B5A3BCB" w14:textId="66843469" w:rsidR="00675288" w:rsidRPr="00B96CAA" w:rsidRDefault="00675288" w:rsidP="00675288">
      <w:pPr>
        <w:pStyle w:val="Heading1"/>
        <w:rPr>
          <w:rFonts w:cs="Times New Roman"/>
          <w:szCs w:val="24"/>
        </w:rPr>
      </w:pPr>
      <w:bookmarkStart w:id="35" w:name="_Toc16886250"/>
      <w:r w:rsidRPr="00B96CAA">
        <w:rPr>
          <w:rFonts w:cs="Times New Roman"/>
          <w:szCs w:val="24"/>
        </w:rPr>
        <w:lastRenderedPageBreak/>
        <w:t>Chapter 9. Equal Protection</w:t>
      </w:r>
      <w:r w:rsidR="007201FD" w:rsidRPr="00B96CAA">
        <w:rPr>
          <w:rFonts w:cs="Times New Roman"/>
          <w:szCs w:val="24"/>
        </w:rPr>
        <w:t xml:space="preserve">. </w:t>
      </w:r>
      <w:r w:rsidRPr="00B96CAA">
        <w:rPr>
          <w:rFonts w:cs="Times New Roman"/>
          <w:szCs w:val="24"/>
        </w:rPr>
        <w:t xml:space="preserve">Section XI, Equal Protection and Fundamental Rights, </w:t>
      </w:r>
      <w:r w:rsidR="007201FD" w:rsidRPr="00B96CAA">
        <w:rPr>
          <w:rFonts w:cs="Times New Roman"/>
          <w:szCs w:val="24"/>
        </w:rPr>
        <w:t xml:space="preserve">Part </w:t>
      </w:r>
      <w:r w:rsidRPr="00B96CAA">
        <w:rPr>
          <w:rFonts w:cs="Times New Roman"/>
          <w:szCs w:val="24"/>
        </w:rPr>
        <w:t>A</w:t>
      </w:r>
      <w:r w:rsidR="007201FD" w:rsidRPr="00B96CAA">
        <w:rPr>
          <w:rFonts w:cs="Times New Roman"/>
          <w:szCs w:val="24"/>
        </w:rPr>
        <w:t>,</w:t>
      </w:r>
      <w:r w:rsidRPr="00B96CAA">
        <w:rPr>
          <w:rFonts w:cs="Times New Roman"/>
          <w:szCs w:val="24"/>
        </w:rPr>
        <w:t xml:space="preserve"> The Right to Vote.</w:t>
      </w:r>
      <w:bookmarkEnd w:id="35"/>
      <w:r w:rsidRPr="00B96CAA">
        <w:rPr>
          <w:rFonts w:cs="Times New Roman"/>
          <w:szCs w:val="24"/>
        </w:rPr>
        <w:t xml:space="preserve">  </w:t>
      </w:r>
    </w:p>
    <w:p w14:paraId="4FB4D088" w14:textId="40353AA8" w:rsidR="00675288" w:rsidRPr="00B96CAA" w:rsidRDefault="00675288" w:rsidP="00675288">
      <w:pPr>
        <w:tabs>
          <w:tab w:val="left" w:pos="720"/>
        </w:tabs>
        <w:rPr>
          <w:rFonts w:cs="Times New Roman"/>
          <w:szCs w:val="24"/>
        </w:rPr>
      </w:pPr>
      <w:r w:rsidRPr="00B96CAA">
        <w:rPr>
          <w:rFonts w:cs="Times New Roman"/>
          <w:szCs w:val="24"/>
        </w:rPr>
        <w:t>[</w:t>
      </w:r>
      <w:r w:rsidRPr="0042724A">
        <w:rPr>
          <w:rFonts w:cs="Times New Roman"/>
          <w:i/>
          <w:szCs w:val="24"/>
        </w:rPr>
        <w:t xml:space="preserve">Insert </w:t>
      </w:r>
      <w:r w:rsidRPr="0042724A">
        <w:rPr>
          <w:rFonts w:cs="Times New Roman"/>
          <w:szCs w:val="24"/>
        </w:rPr>
        <w:t>Cooper v. Harris</w:t>
      </w:r>
      <w:r w:rsidRPr="0042724A">
        <w:rPr>
          <w:rFonts w:cs="Times New Roman"/>
          <w:i/>
          <w:szCs w:val="24"/>
        </w:rPr>
        <w:t xml:space="preserve">, the note on </w:t>
      </w:r>
      <w:r w:rsidRPr="0042724A">
        <w:rPr>
          <w:rFonts w:cs="Times New Roman"/>
          <w:szCs w:val="24"/>
        </w:rPr>
        <w:t>Covington v. North Carolina</w:t>
      </w:r>
      <w:r w:rsidRPr="0042724A">
        <w:rPr>
          <w:rFonts w:cs="Times New Roman"/>
          <w:i/>
          <w:szCs w:val="24"/>
        </w:rPr>
        <w:t xml:space="preserve">, the note on </w:t>
      </w:r>
      <w:r w:rsidRPr="0042724A">
        <w:rPr>
          <w:rFonts w:cs="Times New Roman"/>
          <w:szCs w:val="24"/>
        </w:rPr>
        <w:t xml:space="preserve">Gill v. </w:t>
      </w:r>
      <w:proofErr w:type="spellStart"/>
      <w:r w:rsidRPr="0042724A">
        <w:rPr>
          <w:rFonts w:cs="Times New Roman"/>
          <w:szCs w:val="24"/>
        </w:rPr>
        <w:t>Whitford</w:t>
      </w:r>
      <w:proofErr w:type="spellEnd"/>
      <w:r w:rsidR="007B45D7" w:rsidRPr="0042724A">
        <w:rPr>
          <w:rFonts w:cs="Times New Roman"/>
          <w:i/>
          <w:szCs w:val="24"/>
        </w:rPr>
        <w:t xml:space="preserve">, and the note on </w:t>
      </w:r>
      <w:proofErr w:type="spellStart"/>
      <w:r w:rsidR="007B45D7" w:rsidRPr="0042724A">
        <w:rPr>
          <w:rFonts w:cs="Times New Roman"/>
          <w:szCs w:val="24"/>
        </w:rPr>
        <w:t>Rucho</w:t>
      </w:r>
      <w:proofErr w:type="spellEnd"/>
      <w:r w:rsidR="007B45D7" w:rsidRPr="0042724A">
        <w:rPr>
          <w:rFonts w:cs="Times New Roman"/>
          <w:szCs w:val="24"/>
        </w:rPr>
        <w:t xml:space="preserve"> v. Common Cause</w:t>
      </w:r>
      <w:r w:rsidR="007B45D7" w:rsidRPr="0042724A">
        <w:rPr>
          <w:rFonts w:cs="Times New Roman"/>
          <w:i/>
          <w:szCs w:val="24"/>
        </w:rPr>
        <w:t xml:space="preserve"> </w:t>
      </w:r>
      <w:r w:rsidRPr="0042724A">
        <w:rPr>
          <w:rFonts w:cs="Times New Roman"/>
          <w:i/>
          <w:szCs w:val="24"/>
        </w:rPr>
        <w:t>on p. 8</w:t>
      </w:r>
      <w:r w:rsidR="0099385F" w:rsidRPr="0042724A">
        <w:rPr>
          <w:rFonts w:cs="Times New Roman"/>
          <w:i/>
          <w:szCs w:val="24"/>
        </w:rPr>
        <w:t>2</w:t>
      </w:r>
      <w:r w:rsidRPr="0042724A">
        <w:rPr>
          <w:rFonts w:cs="Times New Roman"/>
          <w:i/>
          <w:szCs w:val="24"/>
        </w:rPr>
        <w:t>9 a</w:t>
      </w:r>
      <w:r w:rsidR="007B45D7" w:rsidRPr="0042724A">
        <w:rPr>
          <w:rFonts w:cs="Times New Roman"/>
          <w:i/>
          <w:szCs w:val="24"/>
        </w:rPr>
        <w:t>t the end of Part A (</w:t>
      </w:r>
      <w:r w:rsidR="0042724A">
        <w:rPr>
          <w:rFonts w:cs="Times New Roman"/>
          <w:i/>
          <w:szCs w:val="24"/>
        </w:rPr>
        <w:t xml:space="preserve">following </w:t>
      </w:r>
      <w:r w:rsidRPr="0042724A">
        <w:rPr>
          <w:rFonts w:cs="Times New Roman"/>
          <w:i/>
          <w:szCs w:val="24"/>
        </w:rPr>
        <w:t xml:space="preserve">the note on </w:t>
      </w:r>
      <w:proofErr w:type="spellStart"/>
      <w:r w:rsidR="007B45D7" w:rsidRPr="0042724A">
        <w:rPr>
          <w:rFonts w:cs="Times New Roman"/>
          <w:bCs/>
          <w:iCs/>
          <w:szCs w:val="24"/>
        </w:rPr>
        <w:t>Vieth</w:t>
      </w:r>
      <w:proofErr w:type="spellEnd"/>
      <w:r w:rsidR="007B45D7" w:rsidRPr="0042724A">
        <w:rPr>
          <w:rFonts w:cs="Times New Roman"/>
          <w:bCs/>
          <w:iCs/>
          <w:szCs w:val="24"/>
        </w:rPr>
        <w:t xml:space="preserve"> v. </w:t>
      </w:r>
      <w:proofErr w:type="spellStart"/>
      <w:r w:rsidR="007B45D7" w:rsidRPr="0042724A">
        <w:rPr>
          <w:rFonts w:cs="Times New Roman"/>
          <w:bCs/>
          <w:iCs/>
          <w:szCs w:val="24"/>
        </w:rPr>
        <w:t>Jubelirer</w:t>
      </w:r>
      <w:proofErr w:type="spellEnd"/>
      <w:r w:rsidR="007B45D7" w:rsidRPr="0042724A">
        <w:rPr>
          <w:rFonts w:cs="Times New Roman"/>
          <w:bCs/>
          <w:i/>
          <w:iCs/>
          <w:szCs w:val="24"/>
        </w:rPr>
        <w:t>.</w:t>
      </w:r>
      <w:r w:rsidR="007B45D7">
        <w:rPr>
          <w:rFonts w:cs="Times New Roman"/>
          <w:bCs/>
          <w:iCs/>
          <w:szCs w:val="24"/>
        </w:rPr>
        <w:t>)</w:t>
      </w:r>
      <w:r w:rsidRPr="00B96CAA">
        <w:rPr>
          <w:rFonts w:cs="Times New Roman"/>
          <w:i/>
          <w:szCs w:val="24"/>
        </w:rPr>
        <w:t xml:space="preserve"> </w:t>
      </w:r>
    </w:p>
    <w:p w14:paraId="2A8B5DDE" w14:textId="77777777" w:rsidR="00675288" w:rsidRPr="00B96CAA" w:rsidRDefault="00675288" w:rsidP="00675288">
      <w:pPr>
        <w:pStyle w:val="Heading2"/>
        <w:jc w:val="center"/>
        <w:rPr>
          <w:rFonts w:cs="Times New Roman"/>
          <w:i/>
          <w:szCs w:val="24"/>
        </w:rPr>
      </w:pPr>
      <w:bookmarkStart w:id="36" w:name="_Toc16886251"/>
      <w:r w:rsidRPr="00B96CAA">
        <w:rPr>
          <w:rFonts w:cs="Times New Roman"/>
          <w:i/>
          <w:szCs w:val="24"/>
        </w:rPr>
        <w:t>Cooper v. Harris</w:t>
      </w:r>
      <w:r w:rsidRPr="00B96CAA">
        <w:rPr>
          <w:rFonts w:cs="Times New Roman"/>
          <w:szCs w:val="24"/>
        </w:rPr>
        <w:t xml:space="preserve"> (2017): Background and Case</w:t>
      </w:r>
      <w:bookmarkEnd w:id="36"/>
    </w:p>
    <w:p w14:paraId="3F9CCE29" w14:textId="77777777" w:rsidR="00675288" w:rsidRPr="00B96CAA" w:rsidRDefault="00675288" w:rsidP="00675288">
      <w:pPr>
        <w:rPr>
          <w:rFonts w:cs="Times New Roman"/>
          <w:szCs w:val="24"/>
        </w:rPr>
      </w:pPr>
      <w:r w:rsidRPr="00B96CAA">
        <w:rPr>
          <w:rFonts w:cs="Times New Roman"/>
          <w:szCs w:val="24"/>
        </w:rPr>
        <w:tab/>
        <w:t>After the 2010 election, North Carolina Republicans controlled the governor’s office, and both branches of the state legislature.  2011 was a year in which redistricting was required, as it is in North Carolina every ten years.  Since Republicans controlled the legislature, they were in charge of redistricting.  They redistricted congressional districts and state legislative districts and in both cases, they maximized Republican control and severely minimized Democratic representation in Congress and in the state legislature. Voters challenged twenty-eight state legislative districts and two congressional districts (District 1 and District 12) as racial gerrymanders that violated the Equal Protection Clause of the 14</w:t>
      </w:r>
      <w:r w:rsidRPr="00B96CAA">
        <w:rPr>
          <w:rFonts w:cs="Times New Roman"/>
          <w:szCs w:val="24"/>
          <w:vertAlign w:val="superscript"/>
        </w:rPr>
        <w:t>th</w:t>
      </w:r>
      <w:r w:rsidRPr="00B96CAA">
        <w:rPr>
          <w:rFonts w:cs="Times New Roman"/>
          <w:szCs w:val="24"/>
        </w:rPr>
        <w:t xml:space="preserve"> Amendment.  In a somewhat complex series of judicial decisions, the federal decisions ended up stating the controlling law.  </w:t>
      </w:r>
    </w:p>
    <w:p w14:paraId="7D9DE3CA" w14:textId="77777777" w:rsidR="00675288" w:rsidRPr="00B96CAA" w:rsidRDefault="00675288" w:rsidP="00675288">
      <w:pPr>
        <w:tabs>
          <w:tab w:val="left" w:pos="720"/>
        </w:tabs>
        <w:spacing w:after="120"/>
        <w:ind w:firstLine="720"/>
        <w:jc w:val="both"/>
        <w:rPr>
          <w:rFonts w:cs="Times New Roman"/>
          <w:szCs w:val="24"/>
        </w:rPr>
      </w:pPr>
      <w:r w:rsidRPr="00B96CAA">
        <w:rPr>
          <w:rFonts w:cs="Times New Roman"/>
          <w:szCs w:val="24"/>
        </w:rPr>
        <w:t>Ultimately, in three-judge court decisions that were affirmed by the Supreme Court, the federal courts had found racial considerations had predominated in drawing the districts and the justifications (under the Voting Rights Act) withered under strict scrutiny. Here we excerpt only the majority opinion in the case of District 1. As to District 12 the Court was divided with a majority finding no clear error in the three-judge court’s finding of impermissible racial districting and dissenters claiming that instead the legislature that engaged in a presumably permissible political districting.</w:t>
      </w:r>
    </w:p>
    <w:p w14:paraId="2D38C7FA" w14:textId="77777777" w:rsidR="00675288" w:rsidRPr="00B96CAA" w:rsidRDefault="00675288" w:rsidP="00675288">
      <w:pPr>
        <w:tabs>
          <w:tab w:val="left" w:pos="720"/>
        </w:tabs>
        <w:spacing w:after="120"/>
        <w:jc w:val="both"/>
        <w:rPr>
          <w:rFonts w:cs="Times New Roman"/>
          <w:szCs w:val="24"/>
        </w:rPr>
      </w:pPr>
      <w:r w:rsidRPr="00B96CAA">
        <w:rPr>
          <w:rFonts w:cs="Times New Roman"/>
          <w:szCs w:val="24"/>
        </w:rPr>
        <w:tab/>
        <w:t>In Congressional District 1 and in the purported Voting Rights state legislative districting, the legislature’s method was to use explicit racial quotas (euphemistically called targets) to require the districts have a black voting age population of at least 50%.  Since typically black candidates preferred by black voters had been winning the prior districts—which were reconstituted-- packing more black voters into the “new” districts paid political dividends for Republicans—by wasting black and overwhelmingly Democratic votes.  In less than majority black districts, often these votes had helped to elect white Democrats—just as votes of whites and other ethnic groups had help elect black candidates in districts that were less than 50%+ black voting age population.  For those who sought to create the impression of a “white” Republican Party and a “black” Democratic Party, draining black Democratic votes from these districts, the quota paid additional dividends.</w:t>
      </w:r>
    </w:p>
    <w:p w14:paraId="765C8494" w14:textId="1A597A10" w:rsidR="00675288" w:rsidRPr="00B96CAA" w:rsidRDefault="00675288" w:rsidP="00675288">
      <w:pPr>
        <w:tabs>
          <w:tab w:val="left" w:pos="720"/>
        </w:tabs>
        <w:spacing w:after="120"/>
        <w:ind w:firstLine="720"/>
        <w:jc w:val="both"/>
        <w:rPr>
          <w:rFonts w:cs="Times New Roman"/>
          <w:szCs w:val="24"/>
        </w:rPr>
      </w:pPr>
      <w:r w:rsidRPr="00B96CAA">
        <w:rPr>
          <w:rFonts w:cs="Times New Roman"/>
          <w:i/>
          <w:szCs w:val="24"/>
        </w:rPr>
        <w:t>Cooper v. Harris</w:t>
      </w:r>
      <w:r w:rsidRPr="00B96CAA">
        <w:rPr>
          <w:rFonts w:cs="Times New Roman"/>
          <w:szCs w:val="24"/>
        </w:rPr>
        <w:t xml:space="preserve"> was the federal court suit brought by registered voters in Congressional Districts 1 and 12. Excerpts are set out below.</w:t>
      </w:r>
    </w:p>
    <w:p w14:paraId="75AC6F8E" w14:textId="785BDF8C" w:rsidR="00B2410F" w:rsidRPr="00B96CAA" w:rsidRDefault="00B2410F" w:rsidP="00675288">
      <w:pPr>
        <w:tabs>
          <w:tab w:val="left" w:pos="720"/>
        </w:tabs>
        <w:spacing w:after="120"/>
        <w:ind w:firstLine="720"/>
        <w:jc w:val="both"/>
        <w:rPr>
          <w:rFonts w:cs="Times New Roman"/>
          <w:szCs w:val="24"/>
        </w:rPr>
      </w:pPr>
    </w:p>
    <w:p w14:paraId="779BE9E7" w14:textId="3369406D" w:rsidR="00B2410F" w:rsidRPr="00B96CAA" w:rsidRDefault="00B2410F" w:rsidP="00675288">
      <w:pPr>
        <w:tabs>
          <w:tab w:val="left" w:pos="720"/>
        </w:tabs>
        <w:spacing w:after="120"/>
        <w:ind w:firstLine="720"/>
        <w:jc w:val="both"/>
        <w:rPr>
          <w:rFonts w:cs="Times New Roman"/>
          <w:szCs w:val="24"/>
        </w:rPr>
      </w:pPr>
    </w:p>
    <w:p w14:paraId="67D952AA" w14:textId="77777777" w:rsidR="00B2410F" w:rsidRPr="00B96CAA" w:rsidRDefault="00B2410F" w:rsidP="00675288">
      <w:pPr>
        <w:tabs>
          <w:tab w:val="left" w:pos="720"/>
        </w:tabs>
        <w:spacing w:after="120"/>
        <w:ind w:firstLine="720"/>
        <w:jc w:val="both"/>
        <w:rPr>
          <w:rFonts w:cs="Times New Roman"/>
          <w:szCs w:val="24"/>
        </w:rPr>
      </w:pPr>
    </w:p>
    <w:p w14:paraId="56571BE6" w14:textId="46176DDF" w:rsidR="00675288" w:rsidRPr="00B96CAA" w:rsidRDefault="00675288" w:rsidP="00966EEA">
      <w:pPr>
        <w:pStyle w:val="NoSpacing"/>
        <w:jc w:val="center"/>
        <w:rPr>
          <w:b/>
          <w:szCs w:val="24"/>
        </w:rPr>
      </w:pPr>
      <w:r w:rsidRPr="00B96CAA">
        <w:rPr>
          <w:b/>
          <w:szCs w:val="24"/>
        </w:rPr>
        <w:lastRenderedPageBreak/>
        <w:t>Cooper v. Harris</w:t>
      </w:r>
    </w:p>
    <w:p w14:paraId="46A6AB57" w14:textId="215111D7" w:rsidR="00966EEA" w:rsidRPr="00B96CAA" w:rsidRDefault="00966EEA" w:rsidP="00966EEA">
      <w:pPr>
        <w:pStyle w:val="NoSpacing"/>
        <w:jc w:val="center"/>
        <w:rPr>
          <w:szCs w:val="24"/>
        </w:rPr>
      </w:pPr>
      <w:r w:rsidRPr="00B96CAA">
        <w:rPr>
          <w:szCs w:val="24"/>
        </w:rPr>
        <w:t>581 U. S. __ (2017)</w:t>
      </w:r>
    </w:p>
    <w:p w14:paraId="66D62364" w14:textId="5B753056" w:rsidR="00675288" w:rsidRPr="00B96CAA" w:rsidRDefault="00675288" w:rsidP="00675288">
      <w:pPr>
        <w:tabs>
          <w:tab w:val="left" w:pos="720"/>
        </w:tabs>
        <w:spacing w:after="120"/>
        <w:jc w:val="both"/>
        <w:rPr>
          <w:rFonts w:eastAsia="Century" w:cs="Times New Roman"/>
          <w:szCs w:val="24"/>
        </w:rPr>
      </w:pPr>
      <w:r w:rsidRPr="00B96CAA">
        <w:rPr>
          <w:rFonts w:eastAsia="Century" w:cs="Times New Roman"/>
          <w:szCs w:val="24"/>
        </w:rPr>
        <w:tab/>
        <w:t xml:space="preserve">[Majority: Kagan, Thomas, Ginsburg, Breyer, and Sotomayor, </w:t>
      </w:r>
      <w:r w:rsidR="00287E1A">
        <w:rPr>
          <w:rFonts w:eastAsia="Century" w:cs="Times New Roman"/>
          <w:szCs w:val="24"/>
        </w:rPr>
        <w:t xml:space="preserve">JJ. </w:t>
      </w:r>
      <w:r w:rsidRPr="00B96CAA">
        <w:rPr>
          <w:rFonts w:eastAsia="Century" w:cs="Times New Roman"/>
          <w:szCs w:val="24"/>
        </w:rPr>
        <w:t>Concurring: Thomas</w:t>
      </w:r>
      <w:r w:rsidR="00287E1A">
        <w:rPr>
          <w:rFonts w:eastAsia="Century" w:cs="Times New Roman"/>
          <w:szCs w:val="24"/>
        </w:rPr>
        <w:t xml:space="preserve">, J. </w:t>
      </w:r>
      <w:r w:rsidRPr="00B96CAA">
        <w:rPr>
          <w:rFonts w:eastAsia="Century" w:cs="Times New Roman"/>
          <w:szCs w:val="24"/>
        </w:rPr>
        <w:t>Concurring in the judgment in part and dissenting in part, Alito,</w:t>
      </w:r>
      <w:r w:rsidR="00287E1A">
        <w:rPr>
          <w:rFonts w:eastAsia="Century" w:cs="Times New Roman"/>
          <w:szCs w:val="24"/>
        </w:rPr>
        <w:t xml:space="preserve"> J.,</w:t>
      </w:r>
      <w:r w:rsidRPr="00B96CAA">
        <w:rPr>
          <w:rFonts w:eastAsia="Century" w:cs="Times New Roman"/>
          <w:szCs w:val="24"/>
        </w:rPr>
        <w:t xml:space="preserve"> joined by Roberts (C.J.) and Kennedy</w:t>
      </w:r>
      <w:r w:rsidR="00287E1A">
        <w:rPr>
          <w:rFonts w:eastAsia="Century" w:cs="Times New Roman"/>
          <w:szCs w:val="24"/>
        </w:rPr>
        <w:t>, J.</w:t>
      </w:r>
      <w:r w:rsidRPr="00B96CAA">
        <w:rPr>
          <w:rFonts w:eastAsia="Century" w:cs="Times New Roman"/>
          <w:szCs w:val="24"/>
        </w:rPr>
        <w:t xml:space="preserve"> Gorsuch</w:t>
      </w:r>
      <w:r w:rsidR="00287E1A">
        <w:rPr>
          <w:rFonts w:eastAsia="Century" w:cs="Times New Roman"/>
          <w:szCs w:val="24"/>
        </w:rPr>
        <w:t>, J.,</w:t>
      </w:r>
      <w:r w:rsidRPr="00B96CAA">
        <w:rPr>
          <w:rFonts w:eastAsia="Century" w:cs="Times New Roman"/>
          <w:szCs w:val="24"/>
        </w:rPr>
        <w:t xml:space="preserve"> took no part in the consideration or decision of the case.</w:t>
      </w:r>
    </w:p>
    <w:p w14:paraId="40188F31" w14:textId="77777777" w:rsidR="00675288" w:rsidRPr="00B96CAA" w:rsidRDefault="00675288" w:rsidP="00675288">
      <w:pPr>
        <w:tabs>
          <w:tab w:val="left" w:pos="720"/>
        </w:tabs>
        <w:spacing w:after="120"/>
        <w:jc w:val="both"/>
        <w:rPr>
          <w:rFonts w:eastAsia="Century" w:cs="Times New Roman"/>
          <w:b/>
          <w:szCs w:val="24"/>
        </w:rPr>
      </w:pPr>
      <w:r w:rsidRPr="00B96CAA">
        <w:rPr>
          <w:rFonts w:eastAsia="Century" w:cs="Times New Roman"/>
          <w:b/>
          <w:szCs w:val="24"/>
        </w:rPr>
        <w:tab/>
        <w:t>Justice Kagan delivered the opinion of the Court.</w:t>
      </w:r>
    </w:p>
    <w:p w14:paraId="093A18CE" w14:textId="77777777" w:rsidR="00675288" w:rsidRPr="00B96CAA" w:rsidRDefault="00675288" w:rsidP="00675288">
      <w:pPr>
        <w:tabs>
          <w:tab w:val="left" w:pos="720"/>
        </w:tabs>
        <w:spacing w:after="120"/>
        <w:jc w:val="both"/>
        <w:rPr>
          <w:rFonts w:eastAsia="Century" w:cs="Times New Roman"/>
          <w:szCs w:val="24"/>
        </w:rPr>
      </w:pPr>
      <w:r w:rsidRPr="00B96CAA">
        <w:rPr>
          <w:rFonts w:eastAsia="Century" w:cs="Times New Roman"/>
          <w:szCs w:val="24"/>
        </w:rPr>
        <w:tab/>
        <w:t xml:space="preserve">The Constitution entrusts States with the job of designing congressional districts. But it also imposes an important constraint: A State may not use race as the predominant factor in drawing district lines unless it has a compelling reason. In this case, a three-judge District Court ruled that North Carolina officials violated that bar when they created two districts whose voting-age populations were majority black. Applying a deferential standard of review to the factual findings underlying that decision, we affirm. … </w:t>
      </w:r>
    </w:p>
    <w:p w14:paraId="14D64DB0" w14:textId="77777777" w:rsidR="00675288" w:rsidRPr="00B96CAA" w:rsidRDefault="00675288" w:rsidP="00675288">
      <w:pPr>
        <w:tabs>
          <w:tab w:val="left" w:pos="720"/>
        </w:tabs>
        <w:spacing w:after="120"/>
        <w:jc w:val="both"/>
        <w:rPr>
          <w:rFonts w:eastAsia="Century" w:cs="Times New Roman"/>
          <w:szCs w:val="24"/>
        </w:rPr>
      </w:pPr>
      <w:r w:rsidRPr="00B96CAA">
        <w:rPr>
          <w:rFonts w:eastAsia="Century" w:cs="Times New Roman"/>
          <w:szCs w:val="24"/>
        </w:rPr>
        <w:tab/>
        <w:t>I-A. The Equal Protection Clause of</w:t>
      </w:r>
      <w:r w:rsidRPr="00B96CAA">
        <w:rPr>
          <w:rFonts w:eastAsia="Century" w:cs="Times New Roman"/>
          <w:b/>
          <w:szCs w:val="24"/>
        </w:rPr>
        <w:t xml:space="preserve"> </w:t>
      </w:r>
      <w:r w:rsidRPr="00B96CAA">
        <w:rPr>
          <w:rFonts w:eastAsia="Century" w:cs="Times New Roman"/>
          <w:szCs w:val="24"/>
        </w:rPr>
        <w:t xml:space="preserve">the Fourteenth Amendment limits racial gerrymanders in legislative districting plans. It prevents a State, in the absence of ‘‘sufficient justification,’’ from ‘‘separating its citizens into different voting districts on the basis of race.’’ </w:t>
      </w:r>
      <w:r w:rsidRPr="00B96CAA">
        <w:rPr>
          <w:rFonts w:eastAsia="Century" w:cs="Times New Roman"/>
          <w:i/>
          <w:szCs w:val="24"/>
        </w:rPr>
        <w:t>Bethune–Hill</w:t>
      </w:r>
      <w:r w:rsidRPr="00B96CAA">
        <w:rPr>
          <w:rFonts w:eastAsia="Century" w:cs="Times New Roman"/>
          <w:szCs w:val="24"/>
        </w:rPr>
        <w:t xml:space="preserve"> </w:t>
      </w:r>
      <w:r w:rsidRPr="00B96CAA">
        <w:rPr>
          <w:rFonts w:eastAsia="Century" w:cs="Times New Roman"/>
          <w:i/>
          <w:szCs w:val="24"/>
        </w:rPr>
        <w:t>v. Virginia State Bd. of Elections</w:t>
      </w:r>
      <w:r w:rsidRPr="00B96CAA">
        <w:rPr>
          <w:rFonts w:eastAsia="Century" w:cs="Times New Roman"/>
          <w:szCs w:val="24"/>
        </w:rPr>
        <w:t xml:space="preserve"> (2017). When a voter sues state officials for drawing such race-based lines, our decisions call for a two-step analysis.</w:t>
      </w:r>
    </w:p>
    <w:p w14:paraId="7C6F0AE9" w14:textId="77777777" w:rsidR="00675288" w:rsidRPr="00B96CAA" w:rsidRDefault="00675288" w:rsidP="00675288">
      <w:pPr>
        <w:tabs>
          <w:tab w:val="left" w:pos="720"/>
        </w:tabs>
        <w:spacing w:after="120"/>
        <w:ind w:firstLine="720"/>
        <w:jc w:val="both"/>
        <w:rPr>
          <w:rFonts w:eastAsia="Century" w:cs="Times New Roman"/>
          <w:b/>
          <w:szCs w:val="24"/>
        </w:rPr>
      </w:pPr>
      <w:r w:rsidRPr="00B96CAA">
        <w:rPr>
          <w:rFonts w:eastAsia="Century" w:cs="Times New Roman"/>
          <w:szCs w:val="24"/>
        </w:rPr>
        <w:t>First, the plaintiff must prove</w:t>
      </w:r>
      <w:r w:rsidRPr="00B96CAA">
        <w:rPr>
          <w:rFonts w:eastAsia="Century" w:cs="Times New Roman"/>
          <w:b/>
          <w:szCs w:val="24"/>
        </w:rPr>
        <w:t xml:space="preserve"> </w:t>
      </w:r>
      <w:r w:rsidRPr="00B96CAA">
        <w:rPr>
          <w:rFonts w:eastAsia="Century" w:cs="Times New Roman"/>
          <w:szCs w:val="24"/>
        </w:rPr>
        <w:t xml:space="preserve">that ‘‘race was the predominant factor motivating the legislature’s decision to place a significant number of voters within or without a particular district.’’ </w:t>
      </w:r>
      <w:r w:rsidRPr="00B96CAA">
        <w:rPr>
          <w:rFonts w:eastAsia="Century" w:cs="Times New Roman"/>
          <w:i/>
          <w:szCs w:val="24"/>
        </w:rPr>
        <w:t>Miller v.</w:t>
      </w:r>
      <w:r w:rsidRPr="00B96CAA">
        <w:rPr>
          <w:rFonts w:eastAsia="Century" w:cs="Times New Roman"/>
          <w:szCs w:val="24"/>
        </w:rPr>
        <w:t xml:space="preserve"> </w:t>
      </w:r>
      <w:r w:rsidRPr="00B96CAA">
        <w:rPr>
          <w:rFonts w:eastAsia="Century" w:cs="Times New Roman"/>
          <w:i/>
          <w:szCs w:val="24"/>
        </w:rPr>
        <w:t>Johnson</w:t>
      </w:r>
      <w:r w:rsidRPr="00B96CAA">
        <w:rPr>
          <w:rFonts w:eastAsia="Century" w:cs="Times New Roman"/>
          <w:szCs w:val="24"/>
        </w:rPr>
        <w:t xml:space="preserve"> (1995). That entails demonstrating that the legislature ‘‘subordinated’’ other factors—compactness, respect for political subdivisions, partisan advantage, what have you—to ‘‘racial considerations.’’ The plaintiff may make the required showing through ‘‘direct evidence’’ of legislative intent, ‘‘circumstantial evidence of a district’s shape and demographics,’’ or a mix of both.</w:t>
      </w:r>
    </w:p>
    <w:p w14:paraId="4B0292C4" w14:textId="77777777" w:rsidR="00675288" w:rsidRPr="00B96CAA" w:rsidRDefault="00675288" w:rsidP="00675288">
      <w:pPr>
        <w:tabs>
          <w:tab w:val="left" w:pos="720"/>
        </w:tabs>
        <w:spacing w:after="120"/>
        <w:ind w:firstLine="720"/>
        <w:jc w:val="both"/>
        <w:rPr>
          <w:rFonts w:eastAsia="Century" w:cs="Times New Roman"/>
          <w:i/>
          <w:szCs w:val="24"/>
        </w:rPr>
      </w:pPr>
      <w:r w:rsidRPr="00B96CAA">
        <w:rPr>
          <w:rFonts w:eastAsia="Century" w:cs="Times New Roman"/>
          <w:szCs w:val="24"/>
        </w:rPr>
        <w:t>Second, if racial considerations predominated over others, the design of the district must withstand strict scrutiny. … The burden thus shifts to the State to prove that its race-based sorting of voters serves a ‘‘compelling interest’’ and is ‘‘narrowly tailored’’ to that end. This Court has long assumed that</w:t>
      </w:r>
      <w:r w:rsidRPr="00B96CAA">
        <w:rPr>
          <w:rFonts w:eastAsia="Century" w:cs="Times New Roman"/>
          <w:i/>
          <w:szCs w:val="24"/>
        </w:rPr>
        <w:t xml:space="preserve"> </w:t>
      </w:r>
      <w:r w:rsidRPr="00B96CAA">
        <w:rPr>
          <w:rFonts w:eastAsia="Century" w:cs="Times New Roman"/>
          <w:szCs w:val="24"/>
        </w:rPr>
        <w:t>one compelling interest is complying with operative provisions of the Voting Rights Act of 1965 (VRA or Act). …</w:t>
      </w:r>
    </w:p>
    <w:p w14:paraId="3CC54870" w14:textId="77777777" w:rsidR="00675288" w:rsidRPr="00B96CAA" w:rsidRDefault="00675288" w:rsidP="00675288">
      <w:pPr>
        <w:tabs>
          <w:tab w:val="left" w:pos="720"/>
        </w:tabs>
        <w:spacing w:after="120"/>
        <w:jc w:val="both"/>
        <w:rPr>
          <w:rFonts w:eastAsia="Century" w:cs="Times New Roman"/>
          <w:b/>
          <w:szCs w:val="24"/>
        </w:rPr>
      </w:pPr>
      <w:r w:rsidRPr="00B96CAA">
        <w:rPr>
          <w:rFonts w:eastAsia="Times New Roman" w:cs="Times New Roman"/>
          <w:szCs w:val="24"/>
        </w:rPr>
        <w:tab/>
      </w:r>
      <w:r w:rsidRPr="00B96CAA">
        <w:rPr>
          <w:rFonts w:eastAsia="Century" w:cs="Times New Roman"/>
          <w:szCs w:val="24"/>
        </w:rPr>
        <w:t>Two provisions of the VRA—§ 2</w:t>
      </w:r>
      <w:r w:rsidRPr="00B96CAA">
        <w:rPr>
          <w:rFonts w:eastAsia="Century" w:cs="Times New Roman"/>
          <w:b/>
          <w:szCs w:val="24"/>
        </w:rPr>
        <w:t xml:space="preserve"> </w:t>
      </w:r>
      <w:r w:rsidRPr="00B96CAA">
        <w:rPr>
          <w:rFonts w:eastAsia="Century" w:cs="Times New Roman"/>
          <w:szCs w:val="24"/>
        </w:rPr>
        <w:t>and § 5—are involved in this</w:t>
      </w:r>
      <w:r w:rsidRPr="00B96CAA">
        <w:rPr>
          <w:rFonts w:eastAsia="Times New Roman" w:cs="Times New Roman"/>
          <w:szCs w:val="24"/>
        </w:rPr>
        <w:t xml:space="preserve"> </w:t>
      </w:r>
      <w:r w:rsidRPr="00B96CAA">
        <w:rPr>
          <w:rFonts w:eastAsia="Century" w:cs="Times New Roman"/>
          <w:szCs w:val="24"/>
        </w:rPr>
        <w:t>case.</w:t>
      </w:r>
      <w:r w:rsidRPr="00B96CAA">
        <w:rPr>
          <w:rFonts w:eastAsia="Century" w:cs="Times New Roman"/>
          <w:b/>
          <w:szCs w:val="24"/>
        </w:rPr>
        <w:t xml:space="preserve"> </w:t>
      </w:r>
      <w:r w:rsidRPr="00B96CAA">
        <w:rPr>
          <w:rFonts w:eastAsia="Century" w:cs="Times New Roman"/>
          <w:szCs w:val="24"/>
        </w:rPr>
        <w:t>Section 2 prohibits any ‘‘standard, practice, or procedure’’ that ‘‘results in a denial or abridgement of the</w:t>
      </w:r>
      <w:r w:rsidRPr="00B96CAA">
        <w:rPr>
          <w:rFonts w:eastAsia="Century" w:cs="Times New Roman"/>
          <w:b/>
          <w:szCs w:val="24"/>
        </w:rPr>
        <w:t xml:space="preserve"> </w:t>
      </w:r>
      <w:r w:rsidRPr="00B96CAA">
        <w:rPr>
          <w:rFonts w:eastAsia="Century" w:cs="Times New Roman"/>
          <w:szCs w:val="24"/>
        </w:rPr>
        <w:t>right</w:t>
      </w:r>
      <w:r w:rsidRPr="00B96CAA">
        <w:rPr>
          <w:rFonts w:eastAsia="Times New Roman" w:cs="Times New Roman"/>
          <w:szCs w:val="24"/>
        </w:rPr>
        <w:t xml:space="preserve"> … </w:t>
      </w:r>
      <w:r w:rsidRPr="00B96CAA">
        <w:rPr>
          <w:rFonts w:eastAsia="Century" w:cs="Times New Roman"/>
          <w:szCs w:val="24"/>
        </w:rPr>
        <w:t>to vote on account of race.’’</w:t>
      </w:r>
      <w:r w:rsidRPr="00B96CAA">
        <w:rPr>
          <w:rFonts w:eastAsia="Century" w:cs="Times New Roman"/>
          <w:b/>
          <w:szCs w:val="24"/>
        </w:rPr>
        <w:t xml:space="preserve"> </w:t>
      </w:r>
      <w:r w:rsidRPr="00B96CAA">
        <w:rPr>
          <w:rFonts w:eastAsia="Century" w:cs="Times New Roman"/>
          <w:szCs w:val="24"/>
        </w:rPr>
        <w:t xml:space="preserve">We have construed that ban to extend to ‘‘vote dilution’’—brought about, most relevantly here, by the ‘‘dispersal of [a group’s members] into districts in which they constitute an ineffective minority of voters.’’ </w:t>
      </w:r>
      <w:r w:rsidRPr="00B96CAA">
        <w:rPr>
          <w:rFonts w:eastAsia="Century" w:cs="Times New Roman"/>
          <w:i/>
          <w:szCs w:val="24"/>
        </w:rPr>
        <w:t xml:space="preserve">Thornburg v. </w:t>
      </w:r>
      <w:proofErr w:type="spellStart"/>
      <w:r w:rsidRPr="00B96CAA">
        <w:rPr>
          <w:rFonts w:eastAsia="Century" w:cs="Times New Roman"/>
          <w:i/>
          <w:szCs w:val="24"/>
        </w:rPr>
        <w:t>Gingles</w:t>
      </w:r>
      <w:proofErr w:type="spellEnd"/>
      <w:r w:rsidRPr="00B96CAA">
        <w:rPr>
          <w:rFonts w:eastAsia="Century" w:cs="Times New Roman"/>
          <w:szCs w:val="24"/>
        </w:rPr>
        <w:t xml:space="preserve"> (1986). Section 5, at the time of the districting in dispute, worked through a different mechanism. Before this Court invalidated its coverage formula, see </w:t>
      </w:r>
      <w:r w:rsidRPr="00B96CAA">
        <w:rPr>
          <w:rFonts w:eastAsia="Century" w:cs="Times New Roman"/>
          <w:i/>
          <w:szCs w:val="24"/>
        </w:rPr>
        <w:t>Shelby County v. Holder</w:t>
      </w:r>
      <w:r w:rsidRPr="00B96CAA">
        <w:rPr>
          <w:rFonts w:eastAsia="Century" w:cs="Times New Roman"/>
          <w:szCs w:val="24"/>
        </w:rPr>
        <w:t xml:space="preserve"> (2013), that section required certain jurisdictions (including various North Carolina counties) to pre-clear voting changes with the </w:t>
      </w:r>
      <w:r w:rsidRPr="00B96CAA">
        <w:rPr>
          <w:rFonts w:eastAsia="Century" w:cs="Times New Roman"/>
          <w:szCs w:val="24"/>
        </w:rPr>
        <w:lastRenderedPageBreak/>
        <w:t xml:space="preserve">Department of Justice, so as to forestall ‘‘retrogression’’ in the ability of racial minorities to elect their preferred candidates, </w:t>
      </w:r>
      <w:r w:rsidRPr="00B96CAA">
        <w:rPr>
          <w:rFonts w:eastAsia="Century" w:cs="Times New Roman"/>
          <w:i/>
          <w:szCs w:val="24"/>
        </w:rPr>
        <w:t xml:space="preserve">Beer v. United States </w:t>
      </w:r>
      <w:r w:rsidRPr="00B96CAA">
        <w:rPr>
          <w:rFonts w:eastAsia="Century" w:cs="Times New Roman"/>
          <w:szCs w:val="24"/>
        </w:rPr>
        <w:t>(1976).</w:t>
      </w:r>
    </w:p>
    <w:p w14:paraId="7778C55A" w14:textId="77777777" w:rsidR="00675288" w:rsidRPr="00B96CAA" w:rsidRDefault="00675288" w:rsidP="00675288">
      <w:pPr>
        <w:tabs>
          <w:tab w:val="left" w:pos="720"/>
        </w:tabs>
        <w:spacing w:after="120"/>
        <w:jc w:val="both"/>
        <w:rPr>
          <w:rFonts w:eastAsia="Century" w:cs="Times New Roman"/>
          <w:szCs w:val="24"/>
        </w:rPr>
      </w:pPr>
      <w:r w:rsidRPr="00B96CAA">
        <w:rPr>
          <w:rFonts w:eastAsia="Century" w:cs="Times New Roman"/>
          <w:szCs w:val="24"/>
        </w:rPr>
        <w:tab/>
        <w:t xml:space="preserve">When a State invokes the VRA to justify race-based districting, [as North Carolina did in the case of Congressional District 1 and in another case challenging state legislative districts] it must show (to meet the ‘‘narrow tailoring’’ requirement) that it had ‘‘a strong basis in evidence’’ for concluding that the statute required its action. </w:t>
      </w:r>
      <w:r w:rsidRPr="00B96CAA">
        <w:rPr>
          <w:rFonts w:eastAsia="Century" w:cs="Times New Roman"/>
          <w:i/>
          <w:szCs w:val="24"/>
        </w:rPr>
        <w:t>Alabama Legislative</w:t>
      </w:r>
      <w:r w:rsidRPr="00B96CAA">
        <w:rPr>
          <w:rFonts w:eastAsia="Century" w:cs="Times New Roman"/>
          <w:szCs w:val="24"/>
        </w:rPr>
        <w:t xml:space="preserve"> </w:t>
      </w:r>
      <w:r w:rsidRPr="00B96CAA">
        <w:rPr>
          <w:rFonts w:eastAsia="Century" w:cs="Times New Roman"/>
          <w:i/>
          <w:szCs w:val="24"/>
        </w:rPr>
        <w:t>Black Caucus v. Alabama</w:t>
      </w:r>
      <w:r w:rsidRPr="00B96CAA">
        <w:rPr>
          <w:rFonts w:eastAsia="Century" w:cs="Times New Roman"/>
          <w:szCs w:val="24"/>
        </w:rPr>
        <w:t xml:space="preserve"> (2015). Or said otherwise, the State must establish that it had ‘‘good reasons’’ to think that it would transgress the Act if it did </w:t>
      </w:r>
      <w:r w:rsidRPr="00B96CAA">
        <w:rPr>
          <w:rFonts w:eastAsia="Century" w:cs="Times New Roman"/>
          <w:i/>
          <w:szCs w:val="24"/>
        </w:rPr>
        <w:t>not</w:t>
      </w:r>
      <w:r w:rsidRPr="00B96CAA">
        <w:rPr>
          <w:rFonts w:eastAsia="Century" w:cs="Times New Roman"/>
          <w:szCs w:val="24"/>
        </w:rPr>
        <w:t xml:space="preserve"> draw race-based district lines. That ‘‘strong basis’’ (or ‘‘good reasons’’) standard gives States ‘‘breathing room’’ to adopt reasonable compliance measures that may prove, in perfect hindsight, not to have been needed. </w:t>
      </w:r>
      <w:r w:rsidRPr="00B96CAA">
        <w:rPr>
          <w:rFonts w:eastAsia="Century" w:cs="Times New Roman"/>
          <w:i/>
          <w:szCs w:val="24"/>
        </w:rPr>
        <w:t>Bethune–Hill.</w:t>
      </w:r>
    </w:p>
    <w:p w14:paraId="6F3817A3" w14:textId="77777777" w:rsidR="00675288" w:rsidRPr="00B96CAA" w:rsidRDefault="00675288" w:rsidP="00675288">
      <w:pPr>
        <w:tabs>
          <w:tab w:val="left" w:pos="720"/>
        </w:tabs>
        <w:spacing w:after="120"/>
        <w:ind w:firstLine="720"/>
        <w:jc w:val="both"/>
        <w:rPr>
          <w:rFonts w:eastAsia="Century" w:cs="Times New Roman"/>
          <w:szCs w:val="24"/>
        </w:rPr>
      </w:pPr>
      <w:r w:rsidRPr="00B96CAA">
        <w:rPr>
          <w:rFonts w:eastAsia="Century" w:cs="Times New Roman"/>
          <w:szCs w:val="24"/>
        </w:rPr>
        <w:t>A district court’s assessment of a</w:t>
      </w:r>
      <w:r w:rsidRPr="00B96CAA">
        <w:rPr>
          <w:rFonts w:eastAsia="Century" w:cs="Times New Roman"/>
          <w:b/>
          <w:szCs w:val="24"/>
        </w:rPr>
        <w:t xml:space="preserve"> </w:t>
      </w:r>
      <w:r w:rsidRPr="00B96CAA">
        <w:rPr>
          <w:rFonts w:eastAsia="Century" w:cs="Times New Roman"/>
          <w:szCs w:val="24"/>
        </w:rPr>
        <w:t>districting plan, in accordance with the two-step inquiry just described, warrants significant deference on appeal to this Court. We of course retain full power to correct a court’s errors of law, at either stage of the analysis. But the court’s findings of fact—most notably, as to whether racial considerations predominated in drawing district lines—are subject to review only for clear error. …</w:t>
      </w:r>
    </w:p>
    <w:p w14:paraId="55EFB17D" w14:textId="77777777" w:rsidR="00675288" w:rsidRPr="00B96CAA" w:rsidRDefault="00675288" w:rsidP="00675288">
      <w:pPr>
        <w:tabs>
          <w:tab w:val="left" w:pos="720"/>
        </w:tabs>
        <w:spacing w:after="120"/>
        <w:jc w:val="both"/>
        <w:rPr>
          <w:rFonts w:eastAsia="Century" w:cs="Times New Roman"/>
          <w:szCs w:val="24"/>
        </w:rPr>
      </w:pPr>
      <w:r w:rsidRPr="00B96CAA">
        <w:rPr>
          <w:rFonts w:eastAsia="Century" w:cs="Times New Roman"/>
          <w:szCs w:val="24"/>
        </w:rPr>
        <w:tab/>
        <w:t xml:space="preserve">I-B. This case concerns North Carolina’s most recent redrawing of two congressional districts, both of which have long included substantial populations of black voters. … </w:t>
      </w:r>
    </w:p>
    <w:p w14:paraId="6778EA31" w14:textId="77777777" w:rsidR="00675288" w:rsidRPr="00B96CAA" w:rsidRDefault="00675288" w:rsidP="00675288">
      <w:pPr>
        <w:tabs>
          <w:tab w:val="left" w:pos="720"/>
        </w:tabs>
        <w:spacing w:after="120"/>
        <w:ind w:firstLine="720"/>
        <w:jc w:val="both"/>
        <w:rPr>
          <w:rFonts w:eastAsia="Century" w:cs="Times New Roman"/>
          <w:szCs w:val="24"/>
        </w:rPr>
      </w:pPr>
      <w:bookmarkStart w:id="37" w:name="_Hlk520747735"/>
      <w:r w:rsidRPr="00B96CAA">
        <w:rPr>
          <w:rFonts w:eastAsia="Century" w:cs="Times New Roman"/>
          <w:szCs w:val="24"/>
        </w:rPr>
        <w:t xml:space="preserve">Another census, in 2010, necessitated yet another congressional map—(finally) the one at issue in this case. State Senator Robert </w:t>
      </w:r>
      <w:proofErr w:type="spellStart"/>
      <w:r w:rsidRPr="00B96CAA">
        <w:rPr>
          <w:rFonts w:eastAsia="Century" w:cs="Times New Roman"/>
          <w:szCs w:val="24"/>
        </w:rPr>
        <w:t>Rucho</w:t>
      </w:r>
      <w:proofErr w:type="spellEnd"/>
      <w:r w:rsidRPr="00B96CAA">
        <w:rPr>
          <w:rFonts w:eastAsia="Century" w:cs="Times New Roman"/>
          <w:szCs w:val="24"/>
        </w:rPr>
        <w:t xml:space="preserve"> and State Representative David Lewis, both Republicans, chaired the two committees jointly responsible for preparing the revamped plan. They hired Dr. Thomas </w:t>
      </w:r>
      <w:proofErr w:type="spellStart"/>
      <w:r w:rsidRPr="00B96CAA">
        <w:rPr>
          <w:rFonts w:eastAsia="Century" w:cs="Times New Roman"/>
          <w:szCs w:val="24"/>
        </w:rPr>
        <w:t>Hofeller</w:t>
      </w:r>
      <w:proofErr w:type="spellEnd"/>
      <w:r w:rsidRPr="00B96CAA">
        <w:rPr>
          <w:rFonts w:eastAsia="Century" w:cs="Times New Roman"/>
          <w:szCs w:val="24"/>
        </w:rPr>
        <w:t>, a veteran political mapmaker, to assist them in re-drawing district lines. Several hearings, drafts, and revisions later, both chambers of the State’s General Assembly adopted the scheme the three men proposed.</w:t>
      </w:r>
    </w:p>
    <w:p w14:paraId="24BD3537" w14:textId="317974AB" w:rsidR="00675288" w:rsidRPr="00B96CAA" w:rsidRDefault="00FA2E49" w:rsidP="00675288">
      <w:pPr>
        <w:tabs>
          <w:tab w:val="left" w:pos="720"/>
        </w:tabs>
        <w:spacing w:after="120"/>
        <w:jc w:val="both"/>
        <w:rPr>
          <w:rFonts w:eastAsia="Century" w:cs="Times New Roman"/>
          <w:szCs w:val="24"/>
        </w:rPr>
      </w:pPr>
      <w:r>
        <w:rPr>
          <w:rFonts w:eastAsia="Century" w:cs="Times New Roman"/>
          <w:szCs w:val="24"/>
        </w:rPr>
        <w:tab/>
      </w:r>
      <w:r w:rsidR="00675288" w:rsidRPr="00B96CAA">
        <w:rPr>
          <w:rFonts w:eastAsia="Century" w:cs="Times New Roman"/>
          <w:szCs w:val="24"/>
        </w:rPr>
        <w:t>The new map (among other things) significantly altered both District 1 and District 12. The 2010 census had revealed District 1 to be substantially underpopulated: To comply with the Constitution’s one-person-one-vote principle, the State needed to place almost 100,000 new people within the district’s boundaries. …</w:t>
      </w:r>
    </w:p>
    <w:p w14:paraId="09AF498A" w14:textId="77777777" w:rsidR="00675288" w:rsidRPr="00B96CAA" w:rsidRDefault="00675288" w:rsidP="00675288">
      <w:pPr>
        <w:tabs>
          <w:tab w:val="left" w:pos="720"/>
        </w:tabs>
        <w:spacing w:after="120"/>
        <w:jc w:val="both"/>
        <w:rPr>
          <w:rFonts w:eastAsia="Century" w:cs="Times New Roman"/>
          <w:szCs w:val="24"/>
        </w:rPr>
      </w:pPr>
      <w:r w:rsidRPr="00B96CAA">
        <w:rPr>
          <w:rFonts w:eastAsia="Century" w:cs="Times New Roman"/>
          <w:szCs w:val="24"/>
        </w:rPr>
        <w:tab/>
      </w:r>
      <w:proofErr w:type="spellStart"/>
      <w:r w:rsidRPr="00B96CAA">
        <w:rPr>
          <w:rFonts w:eastAsia="Century" w:cs="Times New Roman"/>
          <w:szCs w:val="24"/>
        </w:rPr>
        <w:t>Rucho</w:t>
      </w:r>
      <w:proofErr w:type="spellEnd"/>
      <w:r w:rsidRPr="00B96CAA">
        <w:rPr>
          <w:rFonts w:eastAsia="Century" w:cs="Times New Roman"/>
          <w:szCs w:val="24"/>
        </w:rPr>
        <w:t xml:space="preserve">, Lewis, and </w:t>
      </w:r>
      <w:proofErr w:type="spellStart"/>
      <w:r w:rsidRPr="00B96CAA">
        <w:rPr>
          <w:rFonts w:eastAsia="Century" w:cs="Times New Roman"/>
          <w:szCs w:val="24"/>
        </w:rPr>
        <w:t>Hofeller</w:t>
      </w:r>
      <w:proofErr w:type="spellEnd"/>
      <w:r w:rsidRPr="00B96CAA">
        <w:rPr>
          <w:rFonts w:eastAsia="Century" w:cs="Times New Roman"/>
          <w:szCs w:val="24"/>
        </w:rPr>
        <w:t xml:space="preserve"> chose to take most of those people from heavily black areas of Durham, requiring a finger-like extension of the district’s western line. … With that addition, District 1’s BVAP rose from 48.6% to 52.7%. District 12, for its part, had no need for significant total-population changes: It was overpopulated by fewer than 3,000 people out of over 730,000. … Still, </w:t>
      </w:r>
      <w:proofErr w:type="spellStart"/>
      <w:r w:rsidRPr="00B96CAA">
        <w:rPr>
          <w:rFonts w:eastAsia="Century" w:cs="Times New Roman"/>
          <w:szCs w:val="24"/>
        </w:rPr>
        <w:t>Rucho</w:t>
      </w:r>
      <w:proofErr w:type="spellEnd"/>
      <w:r w:rsidRPr="00B96CAA">
        <w:rPr>
          <w:rFonts w:eastAsia="Century" w:cs="Times New Roman"/>
          <w:szCs w:val="24"/>
        </w:rPr>
        <w:t xml:space="preserve">, Lewis, and </w:t>
      </w:r>
      <w:proofErr w:type="spellStart"/>
      <w:r w:rsidRPr="00B96CAA">
        <w:rPr>
          <w:rFonts w:eastAsia="Century" w:cs="Times New Roman"/>
          <w:szCs w:val="24"/>
        </w:rPr>
        <w:t>Hofeller</w:t>
      </w:r>
      <w:proofErr w:type="spellEnd"/>
      <w:r w:rsidRPr="00B96CAA">
        <w:rPr>
          <w:rFonts w:eastAsia="Century" w:cs="Times New Roman"/>
          <w:szCs w:val="24"/>
        </w:rPr>
        <w:t xml:space="preserve"> decided to reconfigure the district, further narrowing its already snakelike body while adding areas at either end—most relevantly here, in Guilford County. Those changes appreciably shifted the racial composition of District 12: As the district gained some 35,000 African– Americans of voting age and lost some 50,000 whites of that age, its BVAP increased from 43.8% to 50.7%. …</w:t>
      </w:r>
    </w:p>
    <w:p w14:paraId="24A4DC58" w14:textId="77777777" w:rsidR="00675288" w:rsidRPr="00B96CAA" w:rsidRDefault="00675288" w:rsidP="00675288">
      <w:pPr>
        <w:tabs>
          <w:tab w:val="left" w:pos="720"/>
        </w:tabs>
        <w:spacing w:after="120"/>
        <w:jc w:val="both"/>
        <w:rPr>
          <w:rFonts w:eastAsia="Century" w:cs="Times New Roman"/>
          <w:szCs w:val="24"/>
        </w:rPr>
      </w:pPr>
      <w:r w:rsidRPr="00B96CAA">
        <w:rPr>
          <w:rFonts w:eastAsia="Century" w:cs="Times New Roman"/>
          <w:szCs w:val="24"/>
        </w:rPr>
        <w:tab/>
        <w:t xml:space="preserve">Registered voters in the two districts (David Harris and Christine Bowser, here called ‘‘the plaintiffs’’) brought this suit against North Carolina officials (collectively, ‘‘the State’’ or ‘‘North </w:t>
      </w:r>
      <w:r w:rsidRPr="00B96CAA">
        <w:rPr>
          <w:rFonts w:eastAsia="Century" w:cs="Times New Roman"/>
          <w:szCs w:val="24"/>
        </w:rPr>
        <w:lastRenderedPageBreak/>
        <w:t xml:space="preserve">Carolina’’), complaining of impermissible racial gerrymanders. After a bench trial, a three-judge District Court held both districts unconstitutional. All the judges agreed that racial considerations predominated in the design of District 1. See </w:t>
      </w:r>
      <w:r w:rsidRPr="00B96CAA">
        <w:rPr>
          <w:rFonts w:eastAsia="Century" w:cs="Times New Roman"/>
          <w:i/>
          <w:szCs w:val="24"/>
        </w:rPr>
        <w:t xml:space="preserve">Harris v. McCrory </w:t>
      </w:r>
      <w:r w:rsidRPr="00B96CAA">
        <w:rPr>
          <w:rFonts w:eastAsia="Century" w:cs="Times New Roman"/>
          <w:szCs w:val="24"/>
        </w:rPr>
        <w:t>(2016). And in then applying strict scrutiny, all rejected the State’s argument that it had a ‘‘strong basis’’ for thinking that the VRA compelled such a race-based drawing of District 1’s lines. As for District 12, a majority of the panel held that ‘‘race predominated’’ over all other factors, including partisanship. And the court explained that the State had failed to put forward any reason, compelling or otherwise, for its attention to race in designing that district. Judge Osteen dissented from the conclusion that race, rather than politics, drove District 12’s lines—yet still characterized the majority’s view as ‘‘[e]</w:t>
      </w:r>
      <w:proofErr w:type="spellStart"/>
      <w:r w:rsidRPr="00B96CAA">
        <w:rPr>
          <w:rFonts w:eastAsia="Century" w:cs="Times New Roman"/>
          <w:szCs w:val="24"/>
        </w:rPr>
        <w:t>minently</w:t>
      </w:r>
      <w:proofErr w:type="spellEnd"/>
      <w:r w:rsidRPr="00B96CAA">
        <w:rPr>
          <w:rFonts w:eastAsia="Century" w:cs="Times New Roman"/>
          <w:szCs w:val="24"/>
        </w:rPr>
        <w:t xml:space="preserve"> </w:t>
      </w:r>
      <w:proofErr w:type="spellStart"/>
      <w:r w:rsidRPr="00B96CAA">
        <w:rPr>
          <w:rFonts w:eastAsia="Century" w:cs="Times New Roman"/>
          <w:szCs w:val="24"/>
        </w:rPr>
        <w:t>reasonble</w:t>
      </w:r>
      <w:proofErr w:type="spellEnd"/>
      <w:r w:rsidRPr="00B96CAA">
        <w:rPr>
          <w:rFonts w:eastAsia="Century" w:cs="Times New Roman"/>
          <w:szCs w:val="24"/>
        </w:rPr>
        <w:t>.’’ …</w:t>
      </w:r>
    </w:p>
    <w:p w14:paraId="63A5F20F" w14:textId="77777777" w:rsidR="00675288" w:rsidRPr="00B96CAA" w:rsidRDefault="00675288" w:rsidP="00675288">
      <w:pPr>
        <w:tabs>
          <w:tab w:val="left" w:pos="720"/>
        </w:tabs>
        <w:spacing w:after="120"/>
        <w:jc w:val="both"/>
        <w:rPr>
          <w:rFonts w:eastAsia="Century" w:cs="Times New Roman"/>
          <w:szCs w:val="24"/>
        </w:rPr>
      </w:pPr>
      <w:r w:rsidRPr="00B96CAA">
        <w:rPr>
          <w:rFonts w:eastAsia="Century" w:cs="Times New Roman"/>
          <w:szCs w:val="24"/>
        </w:rPr>
        <w:tab/>
        <w:t>[T]he court below found that race furnished the predominant rationale for that district’s redesign. And it held that the State’s interest in complying with the VRA could not justify that consideration of race. We uphold both conclusions. …</w:t>
      </w:r>
    </w:p>
    <w:p w14:paraId="70441E56" w14:textId="77777777" w:rsidR="00675288" w:rsidRPr="00B96CAA" w:rsidRDefault="00675288" w:rsidP="00675288">
      <w:pPr>
        <w:tabs>
          <w:tab w:val="left" w:pos="720"/>
        </w:tabs>
        <w:spacing w:after="120"/>
        <w:jc w:val="both"/>
        <w:rPr>
          <w:rFonts w:eastAsia="Century" w:cs="Times New Roman"/>
          <w:szCs w:val="24"/>
        </w:rPr>
      </w:pPr>
      <w:r w:rsidRPr="00B96CAA">
        <w:rPr>
          <w:rFonts w:eastAsia="Century" w:cs="Times New Roman"/>
          <w:szCs w:val="24"/>
        </w:rPr>
        <w:tab/>
        <w:t xml:space="preserve">III-A. Uncontested evidence in the record shows that the State’s mapmakers, in considering District 1, purposefully established a racial target: African–Americans should make up no less than a majority of the voting-age population. Senator </w:t>
      </w:r>
      <w:proofErr w:type="spellStart"/>
      <w:r w:rsidRPr="00B96CAA">
        <w:rPr>
          <w:rFonts w:eastAsia="Century" w:cs="Times New Roman"/>
          <w:szCs w:val="24"/>
        </w:rPr>
        <w:t>Rucho</w:t>
      </w:r>
      <w:proofErr w:type="spellEnd"/>
      <w:r w:rsidRPr="00B96CAA">
        <w:rPr>
          <w:rFonts w:eastAsia="Century" w:cs="Times New Roman"/>
          <w:szCs w:val="24"/>
        </w:rPr>
        <w:t xml:space="preserve"> and Representative Lewis were not coy in expressing that goal. They repeatedly told their colleagues that District 1 had to be majority-minority, so as to comply with the VRA. During a Senate debate, for example, </w:t>
      </w:r>
      <w:proofErr w:type="spellStart"/>
      <w:r w:rsidRPr="00B96CAA">
        <w:rPr>
          <w:rFonts w:eastAsia="Century" w:cs="Times New Roman"/>
          <w:szCs w:val="24"/>
        </w:rPr>
        <w:t>Rucho</w:t>
      </w:r>
      <w:proofErr w:type="spellEnd"/>
      <w:r w:rsidRPr="00B96CAA">
        <w:rPr>
          <w:rFonts w:eastAsia="Century" w:cs="Times New Roman"/>
          <w:szCs w:val="24"/>
        </w:rPr>
        <w:t xml:space="preserve"> explained that District 1 ‘‘must include a sufficient number of African–Americans’’ to make it ‘‘a majority black district.’’ Similarly, Lewis informed the House and Senate redistricting committees that the district must have ‘‘a majority black voting age population.’’ And that objective was communicated in no uncertain terms to the legislators’ consultant. Dr. </w:t>
      </w:r>
      <w:proofErr w:type="spellStart"/>
      <w:r w:rsidRPr="00B96CAA">
        <w:rPr>
          <w:rFonts w:eastAsia="Century" w:cs="Times New Roman"/>
          <w:szCs w:val="24"/>
        </w:rPr>
        <w:t>Hofeller</w:t>
      </w:r>
      <w:proofErr w:type="spellEnd"/>
      <w:r w:rsidRPr="00B96CAA">
        <w:rPr>
          <w:rFonts w:eastAsia="Century" w:cs="Times New Roman"/>
          <w:szCs w:val="24"/>
        </w:rPr>
        <w:t xml:space="preserve"> testified multiple times at trial that </w:t>
      </w:r>
      <w:proofErr w:type="spellStart"/>
      <w:r w:rsidRPr="00B96CAA">
        <w:rPr>
          <w:rFonts w:eastAsia="Century" w:cs="Times New Roman"/>
          <w:szCs w:val="24"/>
        </w:rPr>
        <w:t>Rucho</w:t>
      </w:r>
      <w:proofErr w:type="spellEnd"/>
      <w:r w:rsidRPr="00B96CAA">
        <w:rPr>
          <w:rFonts w:eastAsia="Century" w:cs="Times New Roman"/>
          <w:szCs w:val="24"/>
        </w:rPr>
        <w:t xml:space="preserve"> and Lewis instructed him ‘‘to draw [District 1] with a [BVAP] in excess of 50 percent.  [As a result, Dr. </w:t>
      </w:r>
      <w:proofErr w:type="spellStart"/>
      <w:r w:rsidRPr="00B96CAA">
        <w:rPr>
          <w:rFonts w:eastAsia="Century" w:cs="Times New Roman"/>
          <w:szCs w:val="24"/>
        </w:rPr>
        <w:t>Hofeller</w:t>
      </w:r>
      <w:proofErr w:type="spellEnd"/>
      <w:r w:rsidRPr="00B96CAA">
        <w:rPr>
          <w:rFonts w:eastAsia="Century" w:cs="Times New Roman"/>
          <w:szCs w:val="24"/>
        </w:rPr>
        <w:t xml:space="preserve"> explained that he sometimes could not follow county or precinct lines because the most important thing was to reach the 50%+ target.] ...  </w:t>
      </w:r>
    </w:p>
    <w:p w14:paraId="004CB0DF" w14:textId="77777777" w:rsidR="00675288" w:rsidRPr="00B96CAA" w:rsidRDefault="00675288" w:rsidP="00675288">
      <w:pPr>
        <w:tabs>
          <w:tab w:val="left" w:pos="713"/>
        </w:tabs>
        <w:spacing w:after="120"/>
        <w:jc w:val="both"/>
        <w:rPr>
          <w:rFonts w:eastAsia="Century" w:cs="Times New Roman"/>
          <w:szCs w:val="24"/>
        </w:rPr>
      </w:pPr>
      <w:r w:rsidRPr="00B96CAA">
        <w:rPr>
          <w:rFonts w:eastAsia="Century" w:cs="Times New Roman"/>
          <w:b/>
          <w:szCs w:val="24"/>
        </w:rPr>
        <w:tab/>
      </w:r>
      <w:r w:rsidRPr="00B96CAA">
        <w:rPr>
          <w:rFonts w:eastAsia="Century" w:cs="Times New Roman"/>
          <w:szCs w:val="24"/>
        </w:rPr>
        <w:t>[The Court noted that in light of evidence showing other criteria were subordinated to race, the district court could hardly avoid finding race predominated in drawing District 1.] Indeed, as all three judges recognized, the court could hardly have concluded anything but. … (calling District 1 a “textbook example” of racial districting.)</w:t>
      </w:r>
      <w:r w:rsidRPr="00B96CAA">
        <w:rPr>
          <w:rFonts w:eastAsia="Century" w:cs="Times New Roman"/>
          <w:b/>
          <w:szCs w:val="24"/>
        </w:rPr>
        <w:t xml:space="preserve">  </w:t>
      </w:r>
      <w:r w:rsidRPr="00B96CAA">
        <w:rPr>
          <w:rFonts w:eastAsia="Century" w:cs="Times New Roman"/>
          <w:szCs w:val="24"/>
        </w:rPr>
        <w:t xml:space="preserve">[The Court noted that the question was whether District 1 could survive the strict scrutiny applied to race based districting. The Court has assumed that complying with the Voting Rights Act is a compelling interest.  The second part of the test was whether the districting remedy applied was narrowly tailored to comply with that interest.  On whether the remedy of a majority-minority district was required, the Court looked to the </w:t>
      </w:r>
      <w:proofErr w:type="spellStart"/>
      <w:r w:rsidRPr="00B96CAA">
        <w:rPr>
          <w:rFonts w:eastAsia="Century" w:cs="Times New Roman"/>
          <w:i/>
          <w:szCs w:val="24"/>
        </w:rPr>
        <w:t>Gingles</w:t>
      </w:r>
      <w:proofErr w:type="spellEnd"/>
      <w:r w:rsidRPr="00B96CAA">
        <w:rPr>
          <w:rFonts w:eastAsia="Century" w:cs="Times New Roman"/>
          <w:szCs w:val="24"/>
        </w:rPr>
        <w:t xml:space="preserve"> test, set out below.]</w:t>
      </w:r>
    </w:p>
    <w:p w14:paraId="192A1695" w14:textId="77777777" w:rsidR="00675288" w:rsidRPr="00B96CAA" w:rsidRDefault="00675288" w:rsidP="00675288">
      <w:pPr>
        <w:tabs>
          <w:tab w:val="left" w:pos="720"/>
        </w:tabs>
        <w:spacing w:after="120"/>
        <w:jc w:val="both"/>
        <w:rPr>
          <w:rFonts w:eastAsia="Century" w:cs="Times New Roman"/>
          <w:szCs w:val="24"/>
        </w:rPr>
      </w:pPr>
      <w:r w:rsidRPr="00B96CAA">
        <w:rPr>
          <w:rFonts w:eastAsia="Century" w:cs="Times New Roman"/>
          <w:szCs w:val="24"/>
        </w:rPr>
        <w:tab/>
        <w:t xml:space="preserve">III-B. This Court identified, in </w:t>
      </w:r>
      <w:r w:rsidRPr="00B96CAA">
        <w:rPr>
          <w:rFonts w:eastAsia="Century" w:cs="Times New Roman"/>
          <w:i/>
          <w:szCs w:val="24"/>
        </w:rPr>
        <w:t xml:space="preserve">Thornburg v. </w:t>
      </w:r>
      <w:proofErr w:type="spellStart"/>
      <w:r w:rsidRPr="00B96CAA">
        <w:rPr>
          <w:rFonts w:eastAsia="Century" w:cs="Times New Roman"/>
          <w:i/>
          <w:szCs w:val="24"/>
        </w:rPr>
        <w:t>Gingles</w:t>
      </w:r>
      <w:proofErr w:type="spellEnd"/>
      <w:r w:rsidRPr="00B96CAA">
        <w:rPr>
          <w:rFonts w:eastAsia="Century" w:cs="Times New Roman"/>
          <w:i/>
          <w:szCs w:val="24"/>
        </w:rPr>
        <w:t xml:space="preserve">, </w:t>
      </w:r>
      <w:r w:rsidRPr="00B96CAA">
        <w:rPr>
          <w:rFonts w:eastAsia="Century" w:cs="Times New Roman"/>
          <w:szCs w:val="24"/>
        </w:rPr>
        <w:t>three threshold conditions</w:t>
      </w:r>
      <w:r w:rsidRPr="00B96CAA">
        <w:rPr>
          <w:rFonts w:eastAsia="Century" w:cs="Times New Roman"/>
          <w:i/>
          <w:szCs w:val="24"/>
        </w:rPr>
        <w:t xml:space="preserve"> </w:t>
      </w:r>
      <w:r w:rsidRPr="00B96CAA">
        <w:rPr>
          <w:rFonts w:eastAsia="Century" w:cs="Times New Roman"/>
          <w:szCs w:val="24"/>
        </w:rPr>
        <w:t>for proving vote dilution under § 2 of the VRA. First, a ‘‘minority group’’ must be ‘‘sufficiently large and geographically compact to constitute a majority’’ in some reasonably configured legislative district. Second, the minority group must be ‘‘politically cohesive.’’ And third, a</w:t>
      </w:r>
      <w:r w:rsidRPr="00B96CAA">
        <w:rPr>
          <w:rFonts w:eastAsia="Century" w:cs="Times New Roman"/>
          <w:i/>
          <w:szCs w:val="24"/>
        </w:rPr>
        <w:t xml:space="preserve"> </w:t>
      </w:r>
      <w:r w:rsidRPr="00B96CAA">
        <w:rPr>
          <w:rFonts w:eastAsia="Century" w:cs="Times New Roman"/>
          <w:szCs w:val="24"/>
        </w:rPr>
        <w:t>district’s white majority must ‘‘</w:t>
      </w:r>
      <w:proofErr w:type="gramStart"/>
      <w:r w:rsidRPr="00B96CAA">
        <w:rPr>
          <w:rFonts w:eastAsia="Century" w:cs="Times New Roman"/>
          <w:szCs w:val="24"/>
        </w:rPr>
        <w:t>vote[</w:t>
      </w:r>
      <w:proofErr w:type="gramEnd"/>
      <w:r w:rsidRPr="00B96CAA">
        <w:rPr>
          <w:rFonts w:eastAsia="Century" w:cs="Times New Roman"/>
          <w:szCs w:val="24"/>
        </w:rPr>
        <w:t xml:space="preserve"> ] sufficiently as a bloc’’ to usually ‘‘defeat the minority’s preferred </w:t>
      </w:r>
      <w:r w:rsidRPr="00B96CAA">
        <w:rPr>
          <w:rFonts w:eastAsia="Century" w:cs="Times New Roman"/>
          <w:szCs w:val="24"/>
        </w:rPr>
        <w:lastRenderedPageBreak/>
        <w:t>candidate.’’ Those three showings, we have explained, are needed to establish that ‘‘the minority [group] has the potential to elect a representative of its own choice’’ in a possible district, but that racially polarized voting prevents it from doing so in the district as actually drawn because it is ‘‘</w:t>
      </w:r>
      <w:proofErr w:type="spellStart"/>
      <w:r w:rsidRPr="00B96CAA">
        <w:rPr>
          <w:rFonts w:eastAsia="Century" w:cs="Times New Roman"/>
          <w:szCs w:val="24"/>
        </w:rPr>
        <w:t>submerg</w:t>
      </w:r>
      <w:proofErr w:type="spellEnd"/>
      <w:r w:rsidRPr="00B96CAA">
        <w:rPr>
          <w:rFonts w:eastAsia="Century" w:cs="Times New Roman"/>
          <w:szCs w:val="24"/>
        </w:rPr>
        <w:t xml:space="preserve">[ed] in a larger white voting population.’’ </w:t>
      </w:r>
      <w:proofErr w:type="spellStart"/>
      <w:r w:rsidRPr="00B96CAA">
        <w:rPr>
          <w:rFonts w:eastAsia="Century" w:cs="Times New Roman"/>
          <w:i/>
          <w:szCs w:val="24"/>
        </w:rPr>
        <w:t>Growe</w:t>
      </w:r>
      <w:proofErr w:type="spellEnd"/>
      <w:r w:rsidRPr="00B96CAA">
        <w:rPr>
          <w:rFonts w:eastAsia="Century" w:cs="Times New Roman"/>
          <w:i/>
          <w:szCs w:val="24"/>
        </w:rPr>
        <w:t xml:space="preserve"> v. </w:t>
      </w:r>
      <w:proofErr w:type="spellStart"/>
      <w:r w:rsidRPr="00B96CAA">
        <w:rPr>
          <w:rFonts w:eastAsia="Century" w:cs="Times New Roman"/>
          <w:i/>
          <w:szCs w:val="24"/>
        </w:rPr>
        <w:t>Emison</w:t>
      </w:r>
      <w:proofErr w:type="spellEnd"/>
      <w:r w:rsidRPr="00B96CAA">
        <w:rPr>
          <w:rFonts w:eastAsia="Century" w:cs="Times New Roman"/>
          <w:i/>
          <w:szCs w:val="24"/>
        </w:rPr>
        <w:t xml:space="preserve"> </w:t>
      </w:r>
      <w:r w:rsidRPr="00B96CAA">
        <w:rPr>
          <w:rFonts w:eastAsia="Century" w:cs="Times New Roman"/>
          <w:szCs w:val="24"/>
        </w:rPr>
        <w:t>(1993). If a State has good reason to think that all the ‘‘</w:t>
      </w:r>
      <w:proofErr w:type="spellStart"/>
      <w:r w:rsidRPr="00B96CAA">
        <w:rPr>
          <w:rFonts w:eastAsia="Century" w:cs="Times New Roman"/>
          <w:i/>
          <w:szCs w:val="24"/>
        </w:rPr>
        <w:t>Gingles</w:t>
      </w:r>
      <w:proofErr w:type="spellEnd"/>
      <w:r w:rsidRPr="00B96CAA">
        <w:rPr>
          <w:rFonts w:eastAsia="Century" w:cs="Times New Roman"/>
          <w:szCs w:val="24"/>
        </w:rPr>
        <w:t xml:space="preserve"> preconditions’’ are met, then so too it has good reason to believe that § 2 requires drawing a majority-minority district. … But if not, then not. …</w:t>
      </w:r>
    </w:p>
    <w:p w14:paraId="7EB1151D" w14:textId="77777777" w:rsidR="00675288" w:rsidRPr="00B96CAA" w:rsidRDefault="00675288" w:rsidP="00675288">
      <w:pPr>
        <w:tabs>
          <w:tab w:val="left" w:pos="720"/>
        </w:tabs>
        <w:spacing w:after="120"/>
        <w:ind w:firstLine="720"/>
        <w:jc w:val="both"/>
        <w:rPr>
          <w:rFonts w:eastAsia="Century" w:cs="Times New Roman"/>
          <w:szCs w:val="24"/>
        </w:rPr>
      </w:pPr>
      <w:r w:rsidRPr="00B96CAA">
        <w:rPr>
          <w:rFonts w:eastAsia="Century" w:cs="Times New Roman"/>
          <w:szCs w:val="24"/>
        </w:rPr>
        <w:t xml:space="preserve">Here, electoral history provided no evidence that a § 2 plaintiff could demonstrate the third </w:t>
      </w:r>
      <w:proofErr w:type="spellStart"/>
      <w:r w:rsidRPr="00B96CAA">
        <w:rPr>
          <w:rFonts w:eastAsia="Century" w:cs="Times New Roman"/>
          <w:i/>
          <w:szCs w:val="24"/>
        </w:rPr>
        <w:t>Gingles</w:t>
      </w:r>
      <w:proofErr w:type="spellEnd"/>
      <w:r w:rsidRPr="00B96CAA">
        <w:rPr>
          <w:rFonts w:eastAsia="Century" w:cs="Times New Roman"/>
          <w:szCs w:val="24"/>
        </w:rPr>
        <w:t xml:space="preserve"> prerequisite—effective white bloc-voting. For most of the twenty years prior to the new plan’s adoption, African–Americans had made up less than a majority of District 1’s voters; the district’s BVAP usually hovered between 46% and 48%. … Yet throughout those two decades, as the District Court noted, District 1 was ‘‘an extraordinarily safe district for African–American preferred candidates.’’ In the </w:t>
      </w:r>
      <w:r w:rsidRPr="00B96CAA">
        <w:rPr>
          <w:rFonts w:eastAsia="Century" w:cs="Times New Roman"/>
          <w:i/>
          <w:szCs w:val="24"/>
        </w:rPr>
        <w:t>closest</w:t>
      </w:r>
      <w:r w:rsidRPr="00B96CAA">
        <w:rPr>
          <w:rFonts w:eastAsia="Century" w:cs="Times New Roman"/>
          <w:szCs w:val="24"/>
        </w:rPr>
        <w:t xml:space="preserve"> election during that period, African–Americans’ candidate of choice received 59% of the total vote; in other years, the share of the vote garnered by those candidates rose to as much as 70%. Those victories (indeed, landslides) occurred because the district’s white population did </w:t>
      </w:r>
      <w:r w:rsidRPr="00B96CAA">
        <w:rPr>
          <w:rFonts w:eastAsia="Century" w:cs="Times New Roman"/>
          <w:i/>
          <w:szCs w:val="24"/>
        </w:rPr>
        <w:t>not</w:t>
      </w:r>
      <w:r w:rsidRPr="00B96CAA">
        <w:rPr>
          <w:rFonts w:eastAsia="Century" w:cs="Times New Roman"/>
          <w:szCs w:val="24"/>
        </w:rPr>
        <w:t xml:space="preserve"> ‘‘</w:t>
      </w:r>
      <w:proofErr w:type="gramStart"/>
      <w:r w:rsidRPr="00B96CAA">
        <w:rPr>
          <w:rFonts w:eastAsia="Century" w:cs="Times New Roman"/>
          <w:szCs w:val="24"/>
        </w:rPr>
        <w:t>vote[</w:t>
      </w:r>
      <w:proofErr w:type="gramEnd"/>
      <w:r w:rsidRPr="00B96CAA">
        <w:rPr>
          <w:rFonts w:eastAsia="Century" w:cs="Times New Roman"/>
          <w:szCs w:val="24"/>
        </w:rPr>
        <w:t xml:space="preserve"> ] sufficiently as a bloc’’ to thwart black voters’ preference, </w:t>
      </w:r>
      <w:proofErr w:type="spellStart"/>
      <w:r w:rsidRPr="00B96CAA">
        <w:rPr>
          <w:rFonts w:eastAsia="Century" w:cs="Times New Roman"/>
          <w:i/>
          <w:szCs w:val="24"/>
        </w:rPr>
        <w:t>Gingles</w:t>
      </w:r>
      <w:proofErr w:type="spellEnd"/>
      <w:r w:rsidRPr="00B96CAA">
        <w:rPr>
          <w:rFonts w:eastAsia="Century" w:cs="Times New Roman"/>
          <w:szCs w:val="24"/>
        </w:rPr>
        <w:t xml:space="preserve">; rather, a meaningful number of white voters joined a politically cohesive black community to elect that group’s favored candidate. In the lingo of voting law, District 1 functioned, election year in and election year out, as a ‘‘crossover’’ district, in which members of the majority help a ‘‘large enough’’ minority to elect its candidate of choice. </w:t>
      </w:r>
      <w:r w:rsidRPr="00B96CAA">
        <w:rPr>
          <w:rFonts w:eastAsia="Century" w:cs="Times New Roman"/>
          <w:i/>
          <w:szCs w:val="24"/>
        </w:rPr>
        <w:t>Bartlett v. Strickland</w:t>
      </w:r>
      <w:r w:rsidRPr="00B96CAA">
        <w:rPr>
          <w:rFonts w:cs="Times New Roman"/>
          <w:i/>
          <w:szCs w:val="24"/>
        </w:rPr>
        <w:t xml:space="preserve"> </w:t>
      </w:r>
      <w:r w:rsidRPr="00B96CAA">
        <w:rPr>
          <w:rFonts w:eastAsia="Century" w:cs="Times New Roman"/>
          <w:szCs w:val="24"/>
        </w:rPr>
        <w:t>(2009) (plurality opinion). When voters act in that way, ‘‘[</w:t>
      </w:r>
      <w:proofErr w:type="spellStart"/>
      <w:r w:rsidRPr="00B96CAA">
        <w:rPr>
          <w:rFonts w:eastAsia="Century" w:cs="Times New Roman"/>
          <w:szCs w:val="24"/>
        </w:rPr>
        <w:t>i</w:t>
      </w:r>
      <w:proofErr w:type="spellEnd"/>
      <w:r w:rsidRPr="00B96CAA">
        <w:rPr>
          <w:rFonts w:eastAsia="Century" w:cs="Times New Roman"/>
          <w:szCs w:val="24"/>
        </w:rPr>
        <w:t>]t is difficult to see how the majority-bloc-voting requirement could be met’’—and hence how § 2 liability could be established. So experience gave the State no reason to think that the VRA required it to ramp up District 1’s BVAP.</w:t>
      </w:r>
    </w:p>
    <w:p w14:paraId="6A83F093" w14:textId="77777777" w:rsidR="00675288" w:rsidRPr="00B96CAA" w:rsidRDefault="00675288" w:rsidP="00675288">
      <w:pPr>
        <w:tabs>
          <w:tab w:val="left" w:pos="720"/>
        </w:tabs>
        <w:spacing w:after="120"/>
        <w:ind w:firstLine="720"/>
        <w:jc w:val="both"/>
        <w:rPr>
          <w:rFonts w:eastAsia="Century" w:cs="Times New Roman"/>
          <w:szCs w:val="24"/>
        </w:rPr>
      </w:pPr>
      <w:r w:rsidRPr="00B96CAA">
        <w:rPr>
          <w:rFonts w:eastAsia="Century" w:cs="Times New Roman"/>
          <w:szCs w:val="24"/>
        </w:rPr>
        <w:t xml:space="preserve">The State counters that, in this context, past performance is no guarantee of future results. Recall here that the State had to redraw its whole congressional map following the 2010 census. And in particular, the State had to add nearly 100,000 new people to District 1 to meet the one-per-son-one-vote standard. That meant about 13% of the voters in the new district would never have voted there before. So, North Carolina contends, the question facing the state mapmakers was not whether the </w:t>
      </w:r>
      <w:r w:rsidRPr="00B96CAA">
        <w:rPr>
          <w:rFonts w:eastAsia="Century" w:cs="Times New Roman"/>
          <w:i/>
          <w:szCs w:val="24"/>
        </w:rPr>
        <w:t>then-existing</w:t>
      </w:r>
      <w:r w:rsidRPr="00B96CAA">
        <w:rPr>
          <w:rFonts w:eastAsia="Century" w:cs="Times New Roman"/>
          <w:szCs w:val="24"/>
        </w:rPr>
        <w:t xml:space="preserve"> District 1 violated § 2. Rather, the question was whether the </w:t>
      </w:r>
      <w:r w:rsidRPr="00B96CAA">
        <w:rPr>
          <w:rFonts w:eastAsia="Century" w:cs="Times New Roman"/>
          <w:i/>
          <w:szCs w:val="24"/>
        </w:rPr>
        <w:t>future</w:t>
      </w:r>
      <w:r w:rsidRPr="00B96CAA">
        <w:rPr>
          <w:rFonts w:eastAsia="Century" w:cs="Times New Roman"/>
          <w:szCs w:val="24"/>
        </w:rPr>
        <w:t xml:space="preserve"> District 1 would do so if drawn without regard to race. And that issue, the State claims, could not be resolved by ‘‘focusing myopically on past elections.’’ </w:t>
      </w:r>
    </w:p>
    <w:p w14:paraId="62B13129" w14:textId="77777777" w:rsidR="00675288" w:rsidRPr="00B96CAA" w:rsidRDefault="00675288" w:rsidP="00675288">
      <w:pPr>
        <w:tabs>
          <w:tab w:val="left" w:pos="720"/>
        </w:tabs>
        <w:spacing w:after="120"/>
        <w:ind w:firstLine="720"/>
        <w:jc w:val="both"/>
        <w:rPr>
          <w:rFonts w:eastAsia="Century" w:cs="Times New Roman"/>
          <w:b/>
          <w:szCs w:val="24"/>
          <w:vertAlign w:val="superscript"/>
        </w:rPr>
      </w:pPr>
      <w:r w:rsidRPr="00B96CAA">
        <w:rPr>
          <w:rFonts w:eastAsia="Century" w:cs="Times New Roman"/>
          <w:szCs w:val="24"/>
        </w:rPr>
        <w:t xml:space="preserve">But that reasoning, taken alone, cannot justify North Carolina’s race-based redesign of District 1. True enough, a legislature undertaking a redistricting must assess whether the new districts it contemplates (not the old ones it sheds) conform to the VRA’s requirements. And true too, an inescapable influx of additional voters into a district may suggest the possibility that its former track record of compliance can continue only if the legislature intentionally adjusts its racial composition. Still, North Carolina too far downplays the significance of a longtime pattern of white crossover voting in the area that would form the core of the redrawn District 1. See </w:t>
      </w:r>
      <w:proofErr w:type="spellStart"/>
      <w:r w:rsidRPr="00B96CAA">
        <w:rPr>
          <w:rFonts w:eastAsia="Century" w:cs="Times New Roman"/>
          <w:i/>
          <w:szCs w:val="24"/>
        </w:rPr>
        <w:t>Gingles</w:t>
      </w:r>
      <w:proofErr w:type="spellEnd"/>
      <w:r w:rsidRPr="00B96CAA">
        <w:rPr>
          <w:rFonts w:eastAsia="Century" w:cs="Times New Roman"/>
          <w:szCs w:val="24"/>
        </w:rPr>
        <w:t xml:space="preserve"> (noting that longtime voting patterns are highly probative of racial polarization). And even more important, North Carolina can point to no meaningful legislative inquiry into what it now rightly identifies as </w:t>
      </w:r>
      <w:r w:rsidRPr="00B96CAA">
        <w:rPr>
          <w:rFonts w:eastAsia="Century" w:cs="Times New Roman"/>
          <w:szCs w:val="24"/>
        </w:rPr>
        <w:lastRenderedPageBreak/>
        <w:t xml:space="preserve">the key issue: whether a new, enlarged District 1, created without a focus on race but however else the State would choose, could lead to § 2 liability. The prospect of a significant population increase in a district only raises—it does not answer— the question whether § 2 requires deliberate measures to augment the district’s BVAP. (Indeed, such population growth could cut in either direction, depending on who comes into the district.) To have a strong basis in evidence to conclude that § 2 demands such race-based steps, the State must carefully evaluate whether a plaintiff could establish the </w:t>
      </w:r>
      <w:proofErr w:type="spellStart"/>
      <w:r w:rsidRPr="00B96CAA">
        <w:rPr>
          <w:rFonts w:eastAsia="Century" w:cs="Times New Roman"/>
          <w:i/>
          <w:szCs w:val="24"/>
        </w:rPr>
        <w:t>Gingles</w:t>
      </w:r>
      <w:proofErr w:type="spellEnd"/>
      <w:r w:rsidRPr="00B96CAA">
        <w:rPr>
          <w:rFonts w:eastAsia="Century" w:cs="Times New Roman"/>
          <w:i/>
          <w:szCs w:val="24"/>
        </w:rPr>
        <w:t xml:space="preserve"> </w:t>
      </w:r>
      <w:r w:rsidRPr="00B96CAA">
        <w:rPr>
          <w:rFonts w:eastAsia="Century" w:cs="Times New Roman"/>
          <w:szCs w:val="24"/>
        </w:rPr>
        <w:t>preconditions—including effective</w:t>
      </w:r>
      <w:r w:rsidRPr="00B96CAA">
        <w:rPr>
          <w:rFonts w:eastAsia="Century" w:cs="Times New Roman"/>
          <w:i/>
          <w:szCs w:val="24"/>
        </w:rPr>
        <w:t xml:space="preserve"> </w:t>
      </w:r>
      <w:r w:rsidRPr="00B96CAA">
        <w:rPr>
          <w:rFonts w:eastAsia="Century" w:cs="Times New Roman"/>
          <w:szCs w:val="24"/>
        </w:rPr>
        <w:t>white bloc-voting—in a new district created without those measures. We see nothing in the legislative record that fits that description.</w:t>
      </w:r>
    </w:p>
    <w:p w14:paraId="42B7D21A" w14:textId="77777777" w:rsidR="00675288" w:rsidRPr="00B96CAA" w:rsidRDefault="00675288" w:rsidP="00675288">
      <w:pPr>
        <w:tabs>
          <w:tab w:val="left" w:pos="720"/>
        </w:tabs>
        <w:spacing w:after="120"/>
        <w:jc w:val="both"/>
        <w:rPr>
          <w:rFonts w:cs="Times New Roman"/>
          <w:b/>
          <w:szCs w:val="24"/>
        </w:rPr>
      </w:pPr>
      <w:r w:rsidRPr="00B96CAA">
        <w:rPr>
          <w:rFonts w:eastAsia="Times New Roman" w:cs="Times New Roman"/>
          <w:szCs w:val="24"/>
        </w:rPr>
        <w:tab/>
      </w:r>
      <w:r w:rsidRPr="00B96CAA">
        <w:rPr>
          <w:rFonts w:eastAsia="Century" w:cs="Times New Roman"/>
          <w:szCs w:val="24"/>
        </w:rPr>
        <w:t xml:space="preserve">And that absence is no accident: </w:t>
      </w:r>
      <w:proofErr w:type="spellStart"/>
      <w:r w:rsidRPr="00B96CAA">
        <w:rPr>
          <w:rFonts w:eastAsia="Century" w:cs="Times New Roman"/>
          <w:szCs w:val="24"/>
        </w:rPr>
        <w:t>Rucho</w:t>
      </w:r>
      <w:proofErr w:type="spellEnd"/>
      <w:r w:rsidRPr="00B96CAA">
        <w:rPr>
          <w:rFonts w:eastAsia="Century" w:cs="Times New Roman"/>
          <w:szCs w:val="24"/>
        </w:rPr>
        <w:t xml:space="preserve"> and Lewis proceeded under a wholly different theory—arising not from </w:t>
      </w:r>
      <w:proofErr w:type="spellStart"/>
      <w:r w:rsidRPr="00B96CAA">
        <w:rPr>
          <w:rFonts w:eastAsia="Century" w:cs="Times New Roman"/>
          <w:i/>
          <w:szCs w:val="24"/>
        </w:rPr>
        <w:t>Gingles</w:t>
      </w:r>
      <w:proofErr w:type="spellEnd"/>
      <w:r w:rsidRPr="00B96CAA">
        <w:rPr>
          <w:rFonts w:eastAsia="Century" w:cs="Times New Roman"/>
          <w:i/>
          <w:szCs w:val="24"/>
        </w:rPr>
        <w:t xml:space="preserve"> </w:t>
      </w:r>
      <w:r w:rsidRPr="00B96CAA">
        <w:rPr>
          <w:rFonts w:eastAsia="Century" w:cs="Times New Roman"/>
          <w:szCs w:val="24"/>
        </w:rPr>
        <w:t>but from</w:t>
      </w:r>
      <w:r w:rsidRPr="00B96CAA">
        <w:rPr>
          <w:rFonts w:eastAsia="Century" w:cs="Times New Roman"/>
          <w:i/>
          <w:szCs w:val="24"/>
        </w:rPr>
        <w:t xml:space="preserve"> Bartlett v. Strickland</w:t>
      </w:r>
      <w:r w:rsidRPr="00B96CAA">
        <w:rPr>
          <w:rFonts w:eastAsia="Century" w:cs="Times New Roman"/>
          <w:szCs w:val="24"/>
        </w:rPr>
        <w:t>—of what § 2 demanded in drawing District 1.</w:t>
      </w:r>
      <w:r w:rsidRPr="00B96CAA">
        <w:rPr>
          <w:rFonts w:eastAsia="Century" w:cs="Times New Roman"/>
          <w:b/>
          <w:szCs w:val="24"/>
        </w:rPr>
        <w:t xml:space="preserve"> </w:t>
      </w:r>
      <w:r w:rsidRPr="00B96CAA">
        <w:rPr>
          <w:rFonts w:eastAsia="Century" w:cs="Times New Roman"/>
          <w:i/>
          <w:szCs w:val="24"/>
        </w:rPr>
        <w:t xml:space="preserve">Strickland </w:t>
      </w:r>
      <w:r w:rsidRPr="00B96CAA">
        <w:rPr>
          <w:rFonts w:eastAsia="Century" w:cs="Times New Roman"/>
          <w:szCs w:val="24"/>
        </w:rPr>
        <w:t>involved a geographic area</w:t>
      </w:r>
      <w:r w:rsidRPr="00B96CAA">
        <w:rPr>
          <w:rFonts w:eastAsia="Century" w:cs="Times New Roman"/>
          <w:i/>
          <w:szCs w:val="24"/>
        </w:rPr>
        <w:t xml:space="preserve"> </w:t>
      </w:r>
      <w:r w:rsidRPr="00B96CAA">
        <w:rPr>
          <w:rFonts w:eastAsia="Century" w:cs="Times New Roman"/>
          <w:szCs w:val="24"/>
        </w:rPr>
        <w:t xml:space="preserve">in which African–Americans could not form a majority of a reasonably compact district. The African–American community, however, was sizable enough to enable the formation of a crossover district, in which a substantial bloc of black voters, if receiving help from some white ones, could elect the candidates of their choice. A plurality of this Court, invoking the first </w:t>
      </w:r>
      <w:proofErr w:type="spellStart"/>
      <w:r w:rsidRPr="00B96CAA">
        <w:rPr>
          <w:rFonts w:eastAsia="Century" w:cs="Times New Roman"/>
          <w:i/>
          <w:szCs w:val="24"/>
        </w:rPr>
        <w:t>Gingles</w:t>
      </w:r>
      <w:proofErr w:type="spellEnd"/>
      <w:r w:rsidRPr="00B96CAA">
        <w:rPr>
          <w:rFonts w:eastAsia="Century" w:cs="Times New Roman"/>
          <w:szCs w:val="24"/>
        </w:rPr>
        <w:t xml:space="preserve"> precondition, held that § 2 did not require creating that district: When a minority group is not sufficiently large to make up a majority in a reasonably shaped district, § 2 simply does not apply. Over and over in the legislative record, </w:t>
      </w:r>
      <w:proofErr w:type="spellStart"/>
      <w:r w:rsidRPr="00B96CAA">
        <w:rPr>
          <w:rFonts w:eastAsia="Century" w:cs="Times New Roman"/>
          <w:szCs w:val="24"/>
        </w:rPr>
        <w:t>Rucho</w:t>
      </w:r>
      <w:proofErr w:type="spellEnd"/>
      <w:r w:rsidRPr="00B96CAA">
        <w:rPr>
          <w:rFonts w:eastAsia="Century" w:cs="Times New Roman"/>
          <w:szCs w:val="24"/>
        </w:rPr>
        <w:t xml:space="preserve"> and Lewis cited </w:t>
      </w:r>
      <w:r w:rsidRPr="00B96CAA">
        <w:rPr>
          <w:rFonts w:eastAsia="Century" w:cs="Times New Roman"/>
          <w:i/>
          <w:szCs w:val="24"/>
        </w:rPr>
        <w:t xml:space="preserve">Strickland </w:t>
      </w:r>
      <w:r w:rsidRPr="00B96CAA">
        <w:rPr>
          <w:rFonts w:eastAsia="Century" w:cs="Times New Roman"/>
          <w:szCs w:val="24"/>
        </w:rPr>
        <w:t>as mandating a 50%-plus</w:t>
      </w:r>
      <w:r w:rsidRPr="00B96CAA">
        <w:rPr>
          <w:rFonts w:eastAsia="Century" w:cs="Times New Roman"/>
          <w:i/>
          <w:szCs w:val="24"/>
        </w:rPr>
        <w:t xml:space="preserve"> </w:t>
      </w:r>
      <w:r w:rsidRPr="00B96CAA">
        <w:rPr>
          <w:rFonts w:eastAsia="Century" w:cs="Times New Roman"/>
          <w:szCs w:val="24"/>
        </w:rPr>
        <w:t xml:space="preserve">BVAP in District 1. They apparently reasoned that if, as </w:t>
      </w:r>
      <w:r w:rsidRPr="00B96CAA">
        <w:rPr>
          <w:rFonts w:eastAsia="Century" w:cs="Times New Roman"/>
          <w:i/>
          <w:szCs w:val="24"/>
        </w:rPr>
        <w:t xml:space="preserve">Strickland </w:t>
      </w:r>
      <w:r w:rsidRPr="00B96CAA">
        <w:rPr>
          <w:rFonts w:eastAsia="Century" w:cs="Times New Roman"/>
          <w:szCs w:val="24"/>
        </w:rPr>
        <w:t>held, § 2 does not</w:t>
      </w:r>
      <w:r w:rsidRPr="00B96CAA">
        <w:rPr>
          <w:rFonts w:eastAsia="Century" w:cs="Times New Roman"/>
          <w:i/>
          <w:szCs w:val="24"/>
        </w:rPr>
        <w:t xml:space="preserve"> require </w:t>
      </w:r>
      <w:r w:rsidRPr="00B96CAA">
        <w:rPr>
          <w:rFonts w:eastAsia="Century" w:cs="Times New Roman"/>
          <w:szCs w:val="24"/>
        </w:rPr>
        <w:t xml:space="preserve">crossover districts (for groups insufficiently large under </w:t>
      </w:r>
      <w:proofErr w:type="spellStart"/>
      <w:r w:rsidRPr="00B96CAA">
        <w:rPr>
          <w:rFonts w:eastAsia="Century" w:cs="Times New Roman"/>
          <w:i/>
          <w:szCs w:val="24"/>
        </w:rPr>
        <w:t>Gingles</w:t>
      </w:r>
      <w:proofErr w:type="spellEnd"/>
      <w:r w:rsidRPr="00B96CAA">
        <w:rPr>
          <w:rFonts w:eastAsia="Century" w:cs="Times New Roman"/>
          <w:szCs w:val="24"/>
        </w:rPr>
        <w:t xml:space="preserve">), then § 2 also cannot be </w:t>
      </w:r>
      <w:r w:rsidRPr="00B96CAA">
        <w:rPr>
          <w:rFonts w:eastAsia="Century" w:cs="Times New Roman"/>
          <w:i/>
          <w:szCs w:val="24"/>
        </w:rPr>
        <w:t>satisfied by</w:t>
      </w:r>
      <w:r w:rsidRPr="00B96CAA">
        <w:rPr>
          <w:rFonts w:eastAsia="Century" w:cs="Times New Roman"/>
          <w:szCs w:val="24"/>
        </w:rPr>
        <w:t xml:space="preserve"> crossover districts (for groups in fact meeting </w:t>
      </w:r>
      <w:proofErr w:type="spellStart"/>
      <w:r w:rsidRPr="00B96CAA">
        <w:rPr>
          <w:rFonts w:eastAsia="Century" w:cs="Times New Roman"/>
          <w:i/>
          <w:szCs w:val="24"/>
        </w:rPr>
        <w:t>Gingles</w:t>
      </w:r>
      <w:r w:rsidRPr="00B96CAA">
        <w:rPr>
          <w:rFonts w:eastAsia="Century" w:cs="Times New Roman"/>
          <w:szCs w:val="24"/>
        </w:rPr>
        <w:t>’s</w:t>
      </w:r>
      <w:proofErr w:type="spellEnd"/>
      <w:r w:rsidRPr="00B96CAA">
        <w:rPr>
          <w:rFonts w:eastAsia="Century" w:cs="Times New Roman"/>
          <w:szCs w:val="24"/>
        </w:rPr>
        <w:t xml:space="preserve"> size condition). In effect, they concluded, whenever a legislature </w:t>
      </w:r>
      <w:r w:rsidRPr="00B96CAA">
        <w:rPr>
          <w:rFonts w:eastAsia="Century" w:cs="Times New Roman"/>
          <w:i/>
          <w:szCs w:val="24"/>
        </w:rPr>
        <w:t>can</w:t>
      </w:r>
      <w:r w:rsidRPr="00B96CAA">
        <w:rPr>
          <w:rFonts w:eastAsia="Century" w:cs="Times New Roman"/>
          <w:szCs w:val="24"/>
        </w:rPr>
        <w:t xml:space="preserve"> draw a majority-minority district, it </w:t>
      </w:r>
      <w:r w:rsidRPr="00B96CAA">
        <w:rPr>
          <w:rFonts w:eastAsia="Century" w:cs="Times New Roman"/>
          <w:i/>
          <w:szCs w:val="24"/>
        </w:rPr>
        <w:t>must</w:t>
      </w:r>
      <w:r w:rsidRPr="00B96CAA">
        <w:rPr>
          <w:rFonts w:eastAsia="Century" w:cs="Times New Roman"/>
          <w:szCs w:val="24"/>
        </w:rPr>
        <w:t xml:space="preserve"> do so—even if a crossover district would also allow the minority group to elect its favored candidates. </w:t>
      </w:r>
    </w:p>
    <w:p w14:paraId="210411FA" w14:textId="77777777" w:rsidR="00675288" w:rsidRPr="00B96CAA" w:rsidRDefault="00675288" w:rsidP="00675288">
      <w:pPr>
        <w:tabs>
          <w:tab w:val="left" w:pos="720"/>
        </w:tabs>
        <w:spacing w:after="120"/>
        <w:ind w:firstLine="720"/>
        <w:jc w:val="both"/>
        <w:rPr>
          <w:rFonts w:eastAsia="Century" w:cs="Times New Roman"/>
          <w:szCs w:val="24"/>
        </w:rPr>
      </w:pPr>
      <w:r w:rsidRPr="00B96CAA">
        <w:rPr>
          <w:rFonts w:eastAsia="Century" w:cs="Times New Roman"/>
          <w:szCs w:val="24"/>
        </w:rPr>
        <w:t>That idea, though, is at war with our § 2 jurisprudence—</w:t>
      </w:r>
      <w:r w:rsidRPr="00B96CAA">
        <w:rPr>
          <w:rFonts w:eastAsia="Century" w:cs="Times New Roman"/>
          <w:i/>
          <w:szCs w:val="24"/>
        </w:rPr>
        <w:t>Strickland</w:t>
      </w:r>
      <w:r w:rsidRPr="00B96CAA">
        <w:rPr>
          <w:rFonts w:eastAsia="Century" w:cs="Times New Roman"/>
          <w:szCs w:val="24"/>
        </w:rPr>
        <w:t xml:space="preserve"> included. Under the State’s view, the third </w:t>
      </w:r>
      <w:proofErr w:type="spellStart"/>
      <w:r w:rsidRPr="00B96CAA">
        <w:rPr>
          <w:rFonts w:eastAsia="Century" w:cs="Times New Roman"/>
          <w:i/>
          <w:szCs w:val="24"/>
        </w:rPr>
        <w:t>Gingles</w:t>
      </w:r>
      <w:proofErr w:type="spellEnd"/>
      <w:r w:rsidRPr="00B96CAA">
        <w:rPr>
          <w:rFonts w:eastAsia="Century" w:cs="Times New Roman"/>
          <w:szCs w:val="24"/>
        </w:rPr>
        <w:t xml:space="preserve"> condition is no condition at all, because even in the absence of effective white bloc-voting, a § 2 claim could succeed in a district (like the old District 1) with an under–50% BVAP. But this Court has made clear that unless </w:t>
      </w:r>
      <w:r w:rsidRPr="00B96CAA">
        <w:rPr>
          <w:rFonts w:eastAsia="Century" w:cs="Times New Roman"/>
          <w:i/>
          <w:szCs w:val="24"/>
        </w:rPr>
        <w:t>each</w:t>
      </w:r>
      <w:r w:rsidRPr="00B96CAA">
        <w:rPr>
          <w:rFonts w:eastAsia="Century" w:cs="Times New Roman"/>
          <w:szCs w:val="24"/>
        </w:rPr>
        <w:t xml:space="preserve"> of the three </w:t>
      </w:r>
      <w:proofErr w:type="spellStart"/>
      <w:r w:rsidRPr="00B96CAA">
        <w:rPr>
          <w:rFonts w:eastAsia="Century" w:cs="Times New Roman"/>
          <w:i/>
          <w:szCs w:val="24"/>
        </w:rPr>
        <w:t>Gingles</w:t>
      </w:r>
      <w:proofErr w:type="spellEnd"/>
      <w:r w:rsidRPr="00B96CAA">
        <w:rPr>
          <w:rFonts w:eastAsia="Century" w:cs="Times New Roman"/>
          <w:i/>
          <w:szCs w:val="24"/>
        </w:rPr>
        <w:t xml:space="preserve"> </w:t>
      </w:r>
      <w:r w:rsidRPr="00B96CAA">
        <w:rPr>
          <w:rFonts w:eastAsia="Century" w:cs="Times New Roman"/>
          <w:szCs w:val="24"/>
        </w:rPr>
        <w:t>prerequisites is established, ‘‘there</w:t>
      </w:r>
      <w:r w:rsidRPr="00B96CAA">
        <w:rPr>
          <w:rFonts w:eastAsia="Century" w:cs="Times New Roman"/>
          <w:i/>
          <w:szCs w:val="24"/>
        </w:rPr>
        <w:t xml:space="preserve"> </w:t>
      </w:r>
      <w:r w:rsidRPr="00B96CAA">
        <w:rPr>
          <w:rFonts w:eastAsia="Century" w:cs="Times New Roman"/>
          <w:szCs w:val="24"/>
        </w:rPr>
        <w:t xml:space="preserve">neither has been a wrong nor can be a remedy.’’ And </w:t>
      </w:r>
      <w:r w:rsidRPr="00B96CAA">
        <w:rPr>
          <w:rFonts w:eastAsia="Century" w:cs="Times New Roman"/>
          <w:i/>
          <w:szCs w:val="24"/>
        </w:rPr>
        <w:t>Strickland,</w:t>
      </w:r>
      <w:r w:rsidRPr="00B96CAA">
        <w:rPr>
          <w:rFonts w:eastAsia="Century" w:cs="Times New Roman"/>
          <w:szCs w:val="24"/>
        </w:rPr>
        <w:t xml:space="preserve"> far from supporting North Carolina’s view, underscored the necessity of demonstrating effective white bloc-voting to prevail in a § 2 vote-dilution suit. The plurality explained that ‘‘[</w:t>
      </w:r>
      <w:proofErr w:type="spellStart"/>
      <w:r w:rsidRPr="00B96CAA">
        <w:rPr>
          <w:rFonts w:eastAsia="Century" w:cs="Times New Roman"/>
          <w:szCs w:val="24"/>
        </w:rPr>
        <w:t>i</w:t>
      </w:r>
      <w:proofErr w:type="spellEnd"/>
      <w:r w:rsidRPr="00B96CAA">
        <w:rPr>
          <w:rFonts w:eastAsia="Century" w:cs="Times New Roman"/>
          <w:szCs w:val="24"/>
        </w:rPr>
        <w:t xml:space="preserve">]n areas with substantial crossover voting,’’ § 2 plaintiffs would not ‘‘be able to establish the third </w:t>
      </w:r>
      <w:proofErr w:type="spellStart"/>
      <w:r w:rsidRPr="00B96CAA">
        <w:rPr>
          <w:rFonts w:eastAsia="Century" w:cs="Times New Roman"/>
          <w:i/>
          <w:szCs w:val="24"/>
        </w:rPr>
        <w:t>Gingles</w:t>
      </w:r>
      <w:proofErr w:type="spellEnd"/>
      <w:r w:rsidRPr="00B96CAA">
        <w:rPr>
          <w:rFonts w:eastAsia="Century" w:cs="Times New Roman"/>
          <w:szCs w:val="24"/>
        </w:rPr>
        <w:t xml:space="preserve"> precondition’’ and so ‘‘majority-minority districts would not be required.’’ Thus, North Carolina’s belief that it was compelled to redraw District 1 (a successful crossover district) as a majority-minority district rested not on a ‘‘strong basis in evidence,’’ but instead on a pure error of law. </w:t>
      </w:r>
      <w:r w:rsidRPr="00B96CAA">
        <w:rPr>
          <w:rFonts w:eastAsia="Century" w:cs="Times New Roman"/>
          <w:i/>
          <w:szCs w:val="24"/>
        </w:rPr>
        <w:t>Alabama</w:t>
      </w:r>
      <w:r w:rsidRPr="00B96CAA">
        <w:rPr>
          <w:rFonts w:eastAsia="Century" w:cs="Times New Roman"/>
          <w:szCs w:val="24"/>
        </w:rPr>
        <w:t>.</w:t>
      </w:r>
    </w:p>
    <w:p w14:paraId="34327831" w14:textId="77777777" w:rsidR="00675288" w:rsidRPr="00B96CAA" w:rsidRDefault="00675288" w:rsidP="00675288">
      <w:pPr>
        <w:tabs>
          <w:tab w:val="left" w:pos="713"/>
        </w:tabs>
        <w:spacing w:after="120"/>
        <w:jc w:val="both"/>
        <w:rPr>
          <w:rFonts w:cs="Times New Roman"/>
          <w:i/>
          <w:szCs w:val="24"/>
        </w:rPr>
      </w:pPr>
      <w:r w:rsidRPr="00B96CAA">
        <w:rPr>
          <w:rFonts w:eastAsia="Times New Roman" w:cs="Times New Roman"/>
          <w:szCs w:val="24"/>
        </w:rPr>
        <w:tab/>
      </w:r>
      <w:r w:rsidRPr="00B96CAA">
        <w:rPr>
          <w:rFonts w:eastAsia="Century" w:cs="Times New Roman"/>
          <w:szCs w:val="24"/>
        </w:rPr>
        <w:t xml:space="preserve">In sum: Although States enjoy leeway to take race-based actions reasonably judged necessary under a proper interpretation of the VRA, that latitude can-not rescue District 1. We by no means ‘‘insist that a state legislature, when redistricting, determine </w:t>
      </w:r>
      <w:r w:rsidRPr="00B96CAA">
        <w:rPr>
          <w:rFonts w:eastAsia="Century" w:cs="Times New Roman"/>
          <w:i/>
          <w:szCs w:val="24"/>
        </w:rPr>
        <w:t>precisely</w:t>
      </w:r>
      <w:r w:rsidRPr="00B96CAA">
        <w:rPr>
          <w:rFonts w:eastAsia="Century" w:cs="Times New Roman"/>
          <w:szCs w:val="24"/>
        </w:rPr>
        <w:t xml:space="preserve"> what percent </w:t>
      </w:r>
      <w:r w:rsidRPr="00B96CAA">
        <w:rPr>
          <w:rFonts w:eastAsia="Century" w:cs="Times New Roman"/>
          <w:szCs w:val="24"/>
        </w:rPr>
        <w:lastRenderedPageBreak/>
        <w:t xml:space="preserve">minority population [§ 2 of the VRA] demands.’’  But neither will we approve a racial gerrymander whose necessity is supported by no evidence and whose </w:t>
      </w:r>
      <w:r w:rsidRPr="00B96CAA">
        <w:rPr>
          <w:rFonts w:eastAsia="Century" w:cs="Times New Roman"/>
          <w:i/>
          <w:szCs w:val="24"/>
        </w:rPr>
        <w:t xml:space="preserve">raison </w:t>
      </w:r>
      <w:r w:rsidRPr="00B96CAA">
        <w:rPr>
          <w:rFonts w:eastAsia="Century" w:cs="Times New Roman"/>
          <w:i/>
          <w:iCs/>
          <w:szCs w:val="24"/>
        </w:rPr>
        <w:t>d'être</w:t>
      </w:r>
      <w:r w:rsidRPr="00B96CAA">
        <w:rPr>
          <w:rFonts w:eastAsia="Century" w:cs="Times New Roman"/>
          <w:i/>
          <w:szCs w:val="24"/>
        </w:rPr>
        <w:t xml:space="preserve"> </w:t>
      </w:r>
      <w:r w:rsidRPr="00B96CAA">
        <w:rPr>
          <w:rFonts w:eastAsia="Century" w:cs="Times New Roman"/>
          <w:szCs w:val="24"/>
        </w:rPr>
        <w:t>is a legal mistake. Accordingly,</w:t>
      </w:r>
      <w:r w:rsidRPr="00B96CAA">
        <w:rPr>
          <w:rFonts w:eastAsia="Century" w:cs="Times New Roman"/>
          <w:i/>
          <w:szCs w:val="24"/>
        </w:rPr>
        <w:t xml:space="preserve"> </w:t>
      </w:r>
      <w:r w:rsidRPr="00B96CAA">
        <w:rPr>
          <w:rFonts w:eastAsia="Century" w:cs="Times New Roman"/>
          <w:szCs w:val="24"/>
        </w:rPr>
        <w:t>we uphold the District Court’s conclusion that North Carolina’s use of race as the predominant factor in designing District 1 does not withstand strict scrutiny.</w:t>
      </w:r>
    </w:p>
    <w:p w14:paraId="0F39B783" w14:textId="77777777" w:rsidR="00675288" w:rsidRPr="00B96CAA" w:rsidRDefault="00675288" w:rsidP="00675288">
      <w:pPr>
        <w:tabs>
          <w:tab w:val="left" w:pos="713"/>
        </w:tabs>
        <w:spacing w:after="120"/>
        <w:jc w:val="both"/>
        <w:rPr>
          <w:rFonts w:eastAsia="Century" w:cs="Times New Roman"/>
          <w:szCs w:val="24"/>
        </w:rPr>
      </w:pPr>
      <w:r w:rsidRPr="00B96CAA">
        <w:rPr>
          <w:rFonts w:eastAsia="Century" w:cs="Times New Roman"/>
          <w:szCs w:val="24"/>
        </w:rPr>
        <w:tab/>
        <w:t>IV. [The Court proceeded to consider District 12.  There the state argued that far from a racial gerrymander it had engaged in a political gerrymander. The trial court had found that race predominated and that the racial districting failed to survive the somewhat relaxed strict scrutiny used in this category of cases.]</w:t>
      </w:r>
    </w:p>
    <w:p w14:paraId="3441C98C" w14:textId="77777777" w:rsidR="00675288" w:rsidRPr="00B96CAA" w:rsidRDefault="00675288" w:rsidP="00675288">
      <w:pPr>
        <w:tabs>
          <w:tab w:val="left" w:pos="713"/>
        </w:tabs>
        <w:spacing w:after="120"/>
        <w:jc w:val="both"/>
        <w:rPr>
          <w:rFonts w:cs="Times New Roman"/>
          <w:b/>
          <w:szCs w:val="24"/>
        </w:rPr>
      </w:pPr>
      <w:r w:rsidRPr="00B96CAA">
        <w:rPr>
          <w:rFonts w:eastAsia="Century" w:cs="Times New Roman"/>
          <w:szCs w:val="24"/>
        </w:rPr>
        <w:tab/>
        <w:t xml:space="preserve">We now look west to District 12, making its fifth(!) appearance before this Court. This time, the district’s legality turns, and turns solely, on which of two possible reasons predominantly explains its most recent reconfiguration. [The trial court found that] that the General Assembly chose voters for District 12, as for District 1, because of their race; more particularly, they urged that the Assembly intentionally increased District 12’s BVAP in the name of ensuring preclearance under the VRA’s § 5. But North Carolina declined to mount any defense (similar to the one we have just considered for District 1) that § 5’s requirements in fact justified race-based changes to District 12—perhaps because § 5 could not reasonably be understood to have done so. Instead, the State altogether denied that racial considerations accounted for (or, indeed, played the slightest role in) District 12’s redesign. According to the State’s version of events, Senator </w:t>
      </w:r>
      <w:proofErr w:type="spellStart"/>
      <w:r w:rsidRPr="00B96CAA">
        <w:rPr>
          <w:rFonts w:eastAsia="Century" w:cs="Times New Roman"/>
          <w:szCs w:val="24"/>
        </w:rPr>
        <w:t>Rucho</w:t>
      </w:r>
      <w:proofErr w:type="spellEnd"/>
      <w:r w:rsidRPr="00B96CAA">
        <w:rPr>
          <w:rFonts w:eastAsia="Century" w:cs="Times New Roman"/>
          <w:szCs w:val="24"/>
        </w:rPr>
        <w:t xml:space="preserve">, Representative Lewis, and Dr. </w:t>
      </w:r>
      <w:proofErr w:type="spellStart"/>
      <w:r w:rsidRPr="00B96CAA">
        <w:rPr>
          <w:rFonts w:eastAsia="Century" w:cs="Times New Roman"/>
          <w:szCs w:val="24"/>
        </w:rPr>
        <w:t>Hofeller</w:t>
      </w:r>
      <w:proofErr w:type="spellEnd"/>
      <w:r w:rsidRPr="00B96CAA">
        <w:rPr>
          <w:rFonts w:eastAsia="Century" w:cs="Times New Roman"/>
          <w:szCs w:val="24"/>
        </w:rPr>
        <w:t xml:space="preserve"> moved voters in and out of the district as part of a ‘‘strictly’’ political gerrymander, without regard to race. The mapmakers drew their lines, in other words, to ‘‘pack’’ District 12 with Democrats, not African–Americans. After hearing evidence supporting both parties’ accounts, the District Court accepted the plaintiffs’.</w:t>
      </w:r>
    </w:p>
    <w:p w14:paraId="5ADDD919" w14:textId="77777777" w:rsidR="00675288" w:rsidRPr="00B96CAA" w:rsidRDefault="00675288" w:rsidP="00675288">
      <w:pPr>
        <w:tabs>
          <w:tab w:val="left" w:pos="713"/>
        </w:tabs>
        <w:spacing w:after="120"/>
        <w:jc w:val="both"/>
        <w:rPr>
          <w:rFonts w:eastAsia="Century" w:cs="Times New Roman"/>
          <w:szCs w:val="24"/>
        </w:rPr>
      </w:pPr>
      <w:r w:rsidRPr="00B96CAA">
        <w:rPr>
          <w:rFonts w:eastAsia="Century" w:cs="Times New Roman"/>
          <w:szCs w:val="24"/>
        </w:rPr>
        <w:tab/>
        <w:t xml:space="preserve">[In assessing a racial gerrymander claim a court] can make real headway by exploring the challenged district’s conformity to traditional districting principles, such as compactness and respect for county lines. In </w:t>
      </w:r>
      <w:r w:rsidRPr="00B96CAA">
        <w:rPr>
          <w:rFonts w:eastAsia="Century" w:cs="Times New Roman"/>
          <w:i/>
          <w:szCs w:val="24"/>
        </w:rPr>
        <w:t xml:space="preserve">Shaw II, </w:t>
      </w:r>
      <w:r w:rsidRPr="00B96CAA">
        <w:rPr>
          <w:rFonts w:eastAsia="Century" w:cs="Times New Roman"/>
          <w:szCs w:val="24"/>
        </w:rPr>
        <w:t xml:space="preserve">for example, this Court emphasized the ‘‘highly irregular’’ shape of then-District 12 in concluding that race predominated in its design. But such evidence loses much of its value when the State asserts partisanship as a defense, because a bizarre shape—as of the new District 12—can arise from a ‘‘political motivation’’ as well as a racial one. </w:t>
      </w:r>
      <w:r w:rsidRPr="00B96CAA">
        <w:rPr>
          <w:rFonts w:eastAsia="Century" w:cs="Times New Roman"/>
          <w:i/>
          <w:szCs w:val="24"/>
        </w:rPr>
        <w:t>Cromartie I</w:t>
      </w:r>
      <w:r w:rsidRPr="00B96CAA">
        <w:rPr>
          <w:rFonts w:eastAsia="Century" w:cs="Times New Roman"/>
          <w:szCs w:val="24"/>
        </w:rPr>
        <w:t xml:space="preserve">. And crucially, political and racial reasons are capable of yielding similar oddities in a district’s boundaries. That is because, of course, ‘‘racial identification is highly correlated with political affiliation.’’ </w:t>
      </w:r>
      <w:r w:rsidRPr="00B96CAA">
        <w:rPr>
          <w:rFonts w:eastAsia="Century" w:cs="Times New Roman"/>
          <w:i/>
          <w:szCs w:val="24"/>
        </w:rPr>
        <w:t>Cromartie II</w:t>
      </w:r>
      <w:r w:rsidRPr="00B96CAA">
        <w:rPr>
          <w:rFonts w:cs="Times New Roman"/>
          <w:szCs w:val="24"/>
        </w:rPr>
        <w:t xml:space="preserve">. </w:t>
      </w:r>
      <w:r w:rsidRPr="00B96CAA">
        <w:rPr>
          <w:rFonts w:eastAsia="Century" w:cs="Times New Roman"/>
          <w:szCs w:val="24"/>
        </w:rPr>
        <w:t xml:space="preserve">As a result of those redistricting realities, a trial court has a formidable task: It must make ‘‘a sensitive inquiry’’ into all ‘‘circumstantial and direct evidence of intent’’ to assess whether the plaintiffs have managed to disentangle race from politics and prove that the former drove a district’s lines. </w:t>
      </w:r>
      <w:r w:rsidRPr="00B96CAA">
        <w:rPr>
          <w:rFonts w:eastAsia="Century" w:cs="Times New Roman"/>
          <w:i/>
          <w:szCs w:val="24"/>
        </w:rPr>
        <w:t>Cromartie I</w:t>
      </w:r>
      <w:r w:rsidRPr="00B96CAA">
        <w:rPr>
          <w:rFonts w:eastAsia="Century" w:cs="Times New Roman"/>
          <w:szCs w:val="24"/>
        </w:rPr>
        <w:t>.</w:t>
      </w:r>
    </w:p>
    <w:p w14:paraId="0BDE7ABD" w14:textId="77777777" w:rsidR="00675288" w:rsidRPr="00B96CAA" w:rsidRDefault="00675288" w:rsidP="00675288">
      <w:pPr>
        <w:tabs>
          <w:tab w:val="left" w:pos="720"/>
        </w:tabs>
        <w:spacing w:after="120"/>
        <w:jc w:val="both"/>
        <w:rPr>
          <w:rFonts w:eastAsia="Century" w:cs="Times New Roman"/>
          <w:b/>
          <w:szCs w:val="24"/>
        </w:rPr>
      </w:pPr>
      <w:r w:rsidRPr="00B96CAA">
        <w:rPr>
          <w:rFonts w:eastAsia="Century" w:cs="Times New Roman"/>
          <w:szCs w:val="24"/>
        </w:rPr>
        <w:tab/>
        <w:t>Our job is different—and generally easier. As described earlier, we review a district court’s finding as to racial predominance only for clear error, except when the court made a legal mistake. Under that standard</w:t>
      </w:r>
      <w:r w:rsidRPr="00B96CAA">
        <w:rPr>
          <w:rFonts w:eastAsia="Century" w:cs="Times New Roman"/>
          <w:i/>
          <w:szCs w:val="24"/>
        </w:rPr>
        <w:t xml:space="preserve"> </w:t>
      </w:r>
      <w:r w:rsidRPr="00B96CAA">
        <w:rPr>
          <w:rFonts w:eastAsia="Century" w:cs="Times New Roman"/>
          <w:szCs w:val="24"/>
        </w:rPr>
        <w:t xml:space="preserve">of review, we affirm the court’s finding so long as it is ‘‘plausible’’; we reverse only when ‘‘left with the definite and firm conviction that a mistake has been committed.’’ </w:t>
      </w:r>
      <w:r w:rsidRPr="00B96CAA">
        <w:rPr>
          <w:rFonts w:eastAsia="Century" w:cs="Times New Roman"/>
          <w:i/>
          <w:szCs w:val="24"/>
        </w:rPr>
        <w:t xml:space="preserve">Anderson v. Bessemer City </w:t>
      </w:r>
      <w:r w:rsidRPr="00B96CAA">
        <w:rPr>
          <w:rFonts w:eastAsia="Century" w:cs="Times New Roman"/>
          <w:szCs w:val="24"/>
        </w:rPr>
        <w:t xml:space="preserve">(1985). And in deciding which side of that line to come down on, we </w:t>
      </w:r>
      <w:r w:rsidRPr="00B96CAA">
        <w:rPr>
          <w:rFonts w:eastAsia="Century" w:cs="Times New Roman"/>
          <w:szCs w:val="24"/>
        </w:rPr>
        <w:lastRenderedPageBreak/>
        <w:t xml:space="preserve">give singular deference to a trial court’s judgments about the credibility of witnesses. See Fed. Rule Civ. Proc. 52(a)(6). That is proper, we have explained, because the various cues that ‘‘bear so heavily on the listener’s understanding of and belief in what is said’’ are lost on an appellate court later sifting through a paper record. </w:t>
      </w:r>
      <w:r w:rsidRPr="00B96CAA">
        <w:rPr>
          <w:rFonts w:eastAsia="Century" w:cs="Times New Roman"/>
          <w:i/>
          <w:szCs w:val="24"/>
        </w:rPr>
        <w:t>Anderson.</w:t>
      </w:r>
    </w:p>
    <w:p w14:paraId="7117524A" w14:textId="77777777" w:rsidR="00675288" w:rsidRPr="00B96CAA" w:rsidRDefault="00675288" w:rsidP="00675288">
      <w:pPr>
        <w:tabs>
          <w:tab w:val="left" w:pos="720"/>
        </w:tabs>
        <w:spacing w:after="120"/>
        <w:ind w:firstLine="720"/>
        <w:jc w:val="both"/>
        <w:rPr>
          <w:rFonts w:eastAsia="Century" w:cs="Times New Roman"/>
          <w:szCs w:val="24"/>
        </w:rPr>
      </w:pPr>
      <w:r w:rsidRPr="00B96CAA">
        <w:rPr>
          <w:rFonts w:eastAsia="Century" w:cs="Times New Roman"/>
          <w:szCs w:val="24"/>
        </w:rPr>
        <w:t>In light of those principles, we uphold the District Court’s finding of racial pre-dominance respecting District 12. The evidence offered at trial, including live witness testimony subject to credibility determinations, adequately supports the conclusion that race, not politics, accounted for the district’s reconfiguration. And no error of law infected that judgment: Contrary to North Carolina’s view, the District Court had no call to dismiss this challenge just because the plaintiffs did not proffer an alternative design for District 12 as circumstantial evidence of the legislature’s intent.</w:t>
      </w:r>
    </w:p>
    <w:p w14:paraId="26BCD27A" w14:textId="77777777" w:rsidR="00675288" w:rsidRPr="00B96CAA" w:rsidRDefault="00675288" w:rsidP="00675288">
      <w:pPr>
        <w:tabs>
          <w:tab w:val="left" w:pos="720"/>
        </w:tabs>
        <w:spacing w:after="120"/>
        <w:jc w:val="both"/>
        <w:rPr>
          <w:rFonts w:eastAsia="Century" w:cs="Times New Roman"/>
          <w:szCs w:val="24"/>
        </w:rPr>
      </w:pPr>
      <w:r w:rsidRPr="00B96CAA">
        <w:rPr>
          <w:rFonts w:eastAsia="Century" w:cs="Times New Roman"/>
          <w:szCs w:val="24"/>
        </w:rPr>
        <w:tab/>
        <w:t>IV-A. Begin with some facts and figures, showing how the redistricting of District 12 affected its racial composition. As explained above, District 12 (unlike District 1) was approximately the right size as it was: North Carolina did not—indeed, could not—much change its total population. See But by further slimming the district and adding a couple of knobs to its snakelike body (including in Guilford County), the General Assembly incorporated tens of thousands of new voters and pushed out tens of thousands of old ones. And those changes followed racial lines: To be specific, the new District 12 had 35,000 more African–Americans of voting age and 50,000 fewer whites of that age. (The difference was made up of voters from other racial categories.)  [The majority proceeded to summarize evidence supporting the district court’s decision.]</w:t>
      </w:r>
    </w:p>
    <w:p w14:paraId="34E353E2" w14:textId="77777777" w:rsidR="00675288" w:rsidRPr="00B96CAA" w:rsidRDefault="00675288" w:rsidP="00675288">
      <w:pPr>
        <w:tabs>
          <w:tab w:val="left" w:pos="250"/>
          <w:tab w:val="left" w:pos="720"/>
        </w:tabs>
        <w:spacing w:after="120"/>
        <w:jc w:val="both"/>
        <w:rPr>
          <w:rFonts w:eastAsia="Times New Roman" w:cs="Times New Roman"/>
          <w:szCs w:val="24"/>
        </w:rPr>
      </w:pPr>
      <w:r w:rsidRPr="00B96CAA">
        <w:rPr>
          <w:rFonts w:eastAsia="Century" w:cs="Times New Roman"/>
          <w:szCs w:val="24"/>
        </w:rPr>
        <w:tab/>
      </w:r>
      <w:r w:rsidRPr="00B96CAA">
        <w:rPr>
          <w:rFonts w:eastAsia="Century" w:cs="Times New Roman"/>
          <w:szCs w:val="24"/>
        </w:rPr>
        <w:tab/>
        <w:t xml:space="preserve">[In footnote 7 the Court explained that where race predominates the use of race for political purposes still triggers strict scrutiny.  If the motive is political but the means are racial that still triggers heightened scrutiny. The footnote continues:] </w:t>
      </w:r>
      <w:r w:rsidRPr="00B96CAA">
        <w:rPr>
          <w:rFonts w:eastAsia="Times New Roman" w:cs="Times New Roman"/>
          <w:szCs w:val="24"/>
        </w:rPr>
        <w:t xml:space="preserve">As earlier noted, that inquiry is satisfied when legislators have ‘‘place[d] a significant number of voters within or without’’ a district predominantly because of their race, regardless of their ultimate objective in taking that step. So, for example, if legislators use race as their predominant districting criterion with the end goal of advancing their partisan interests— perhaps thinking that a proposed district is more ‘‘sellable’’ as a race-based VRA compliance measure than as a political gerrymander and will accomplish much the same thing— their action still triggers strict scrutiny. … In other words, the sorting of voters on the grounds of their race remains suspect even if race is meant to function as a proxy for other (including political) characteristics. See </w:t>
      </w:r>
      <w:r w:rsidRPr="00B96CAA">
        <w:rPr>
          <w:rFonts w:eastAsia="Arial" w:cs="Times New Roman"/>
          <w:i/>
          <w:szCs w:val="24"/>
        </w:rPr>
        <w:t>Miller</w:t>
      </w:r>
      <w:r w:rsidRPr="00B96CAA">
        <w:rPr>
          <w:rFonts w:eastAsia="Times New Roman" w:cs="Times New Roman"/>
          <w:szCs w:val="24"/>
        </w:rPr>
        <w:t>.</w:t>
      </w:r>
    </w:p>
    <w:p w14:paraId="1015DC79" w14:textId="77777777" w:rsidR="00675288" w:rsidRPr="00B96CAA" w:rsidRDefault="00675288" w:rsidP="00675288">
      <w:pPr>
        <w:tabs>
          <w:tab w:val="left" w:pos="250"/>
          <w:tab w:val="left" w:pos="720"/>
        </w:tabs>
        <w:spacing w:after="120"/>
        <w:jc w:val="both"/>
        <w:rPr>
          <w:rFonts w:eastAsia="Century" w:cs="Times New Roman"/>
          <w:b/>
          <w:szCs w:val="24"/>
        </w:rPr>
      </w:pPr>
      <w:r w:rsidRPr="00B96CAA">
        <w:rPr>
          <w:rFonts w:eastAsia="Century" w:cs="Times New Roman"/>
          <w:b/>
          <w:szCs w:val="24"/>
        </w:rPr>
        <w:tab/>
      </w:r>
      <w:r w:rsidRPr="00B96CAA">
        <w:rPr>
          <w:rFonts w:eastAsia="Century" w:cs="Times New Roman"/>
          <w:b/>
          <w:szCs w:val="24"/>
        </w:rPr>
        <w:tab/>
        <w:t xml:space="preserve">The </w:t>
      </w:r>
      <w:r w:rsidRPr="00B96CAA">
        <w:rPr>
          <w:rFonts w:eastAsia="Century" w:cs="Times New Roman"/>
          <w:b/>
          <w:i/>
          <w:szCs w:val="24"/>
        </w:rPr>
        <w:t>Cooper</w:t>
      </w:r>
      <w:r w:rsidRPr="00B96CAA">
        <w:rPr>
          <w:rFonts w:eastAsia="Century" w:cs="Times New Roman"/>
          <w:b/>
          <w:szCs w:val="24"/>
        </w:rPr>
        <w:t xml:space="preserve"> dissent by Justices Alito, Kennedy, and Chief Justice Roberts</w:t>
      </w:r>
    </w:p>
    <w:p w14:paraId="31B7B97E" w14:textId="77777777" w:rsidR="00675288" w:rsidRPr="00B96CAA" w:rsidRDefault="00675288" w:rsidP="00675288">
      <w:pPr>
        <w:tabs>
          <w:tab w:val="left" w:pos="720"/>
        </w:tabs>
        <w:spacing w:after="120"/>
        <w:jc w:val="both"/>
        <w:rPr>
          <w:rFonts w:eastAsia="Century" w:cs="Times New Roman"/>
          <w:szCs w:val="24"/>
        </w:rPr>
      </w:pPr>
      <w:r w:rsidRPr="00B96CAA">
        <w:rPr>
          <w:rFonts w:eastAsia="Century" w:cs="Times New Roman"/>
          <w:szCs w:val="24"/>
        </w:rPr>
        <w:tab/>
        <w:t xml:space="preserve">[The dissenters argued that politics predominated and that the case was controlled by a prior decision about District 12, which had held that politics predominated. The following summary, including quotes from the Court, is largely from an Article by Michael Curtis, </w:t>
      </w:r>
      <w:r w:rsidRPr="00B96CAA">
        <w:rPr>
          <w:rFonts w:cs="Times New Roman"/>
          <w:i/>
          <w:szCs w:val="24"/>
        </w:rPr>
        <w:t>North Carolina’s Sick Democracy</w:t>
      </w:r>
      <w:r w:rsidRPr="00B96CAA">
        <w:rPr>
          <w:rFonts w:eastAsia="Century" w:cs="Times New Roman"/>
          <w:szCs w:val="24"/>
        </w:rPr>
        <w:t xml:space="preserve"> © Michael Curtis]. </w:t>
      </w:r>
    </w:p>
    <w:p w14:paraId="7053DEB4" w14:textId="77777777" w:rsidR="00675288" w:rsidRPr="00B96CAA" w:rsidRDefault="00675288" w:rsidP="00675288">
      <w:pPr>
        <w:widowControl w:val="0"/>
        <w:tabs>
          <w:tab w:val="left" w:pos="720"/>
        </w:tabs>
        <w:autoSpaceDE w:val="0"/>
        <w:autoSpaceDN w:val="0"/>
        <w:adjustRightInd w:val="0"/>
        <w:spacing w:after="120"/>
        <w:ind w:firstLine="720"/>
        <w:jc w:val="both"/>
        <w:rPr>
          <w:rFonts w:cs="Times New Roman"/>
          <w:color w:val="000000" w:themeColor="text1"/>
          <w:szCs w:val="24"/>
        </w:rPr>
      </w:pPr>
      <w:r w:rsidRPr="00B96CAA">
        <w:rPr>
          <w:rFonts w:cs="Times New Roman"/>
          <w:color w:val="000000" w:themeColor="text1"/>
          <w:szCs w:val="24"/>
        </w:rPr>
        <w:t xml:space="preserve">The dissenters noted that finding a racial motive was to accuse the legislature of something </w:t>
      </w:r>
      <w:r w:rsidRPr="00B96CAA">
        <w:rPr>
          <w:rFonts w:cs="Times New Roman"/>
          <w:color w:val="000000" w:themeColor="text1"/>
          <w:szCs w:val="24"/>
        </w:rPr>
        <w:lastRenderedPageBreak/>
        <w:t>really bad. By contrast a political gerrymander was “distasteful.”  “When a federal court says that race was a legislature’s predominant purpose in drawing a district, it accuses the legislature of ‘offensive and demeaning’ conduct. Indeed, we have said that racial gerrymanders ‘</w:t>
      </w:r>
      <w:proofErr w:type="spellStart"/>
      <w:r w:rsidRPr="00B96CAA">
        <w:rPr>
          <w:rFonts w:cs="Times New Roman"/>
          <w:color w:val="000000" w:themeColor="text1"/>
          <w:szCs w:val="24"/>
        </w:rPr>
        <w:t>bea</w:t>
      </w:r>
      <w:proofErr w:type="spellEnd"/>
      <w:r w:rsidRPr="00B96CAA">
        <w:rPr>
          <w:rFonts w:cs="Times New Roman"/>
          <w:color w:val="000000" w:themeColor="text1"/>
          <w:szCs w:val="24"/>
        </w:rPr>
        <w:t>[r] an uncomfortable resemblance to political apartheid.’” That is a grave accusation to level against a state legislature.</w:t>
      </w:r>
    </w:p>
    <w:p w14:paraId="5C93879D" w14:textId="77777777" w:rsidR="00675288" w:rsidRPr="00B96CAA" w:rsidRDefault="00675288" w:rsidP="00675288">
      <w:pPr>
        <w:widowControl w:val="0"/>
        <w:tabs>
          <w:tab w:val="left" w:pos="720"/>
        </w:tabs>
        <w:autoSpaceDE w:val="0"/>
        <w:autoSpaceDN w:val="0"/>
        <w:adjustRightInd w:val="0"/>
        <w:spacing w:after="120"/>
        <w:jc w:val="both"/>
        <w:rPr>
          <w:rFonts w:cs="Times New Roman"/>
          <w:color w:val="000000" w:themeColor="text1"/>
          <w:szCs w:val="24"/>
        </w:rPr>
      </w:pPr>
      <w:r w:rsidRPr="00B96CAA">
        <w:rPr>
          <w:rFonts w:cs="Times New Roman"/>
          <w:color w:val="000000" w:themeColor="text1"/>
          <w:szCs w:val="24"/>
        </w:rPr>
        <w:tab/>
        <w:t>In addition, the dissent continued “[f]</w:t>
      </w:r>
      <w:proofErr w:type="spellStart"/>
      <w:r w:rsidRPr="00B96CAA">
        <w:rPr>
          <w:rFonts w:cs="Times New Roman"/>
          <w:color w:val="000000" w:themeColor="text1"/>
          <w:szCs w:val="24"/>
        </w:rPr>
        <w:t>ederal</w:t>
      </w:r>
      <w:proofErr w:type="spellEnd"/>
      <w:r w:rsidRPr="00B96CAA">
        <w:rPr>
          <w:rFonts w:cs="Times New Roman"/>
          <w:color w:val="000000" w:themeColor="text1"/>
          <w:szCs w:val="24"/>
        </w:rPr>
        <w:t>-court review of districting legislation represents a serious intrusion on the most vital of local functions” because “[</w:t>
      </w:r>
      <w:proofErr w:type="spellStart"/>
      <w:r w:rsidRPr="00B96CAA">
        <w:rPr>
          <w:rFonts w:cs="Times New Roman"/>
          <w:color w:val="000000" w:themeColor="text1"/>
          <w:szCs w:val="24"/>
        </w:rPr>
        <w:t>i</w:t>
      </w:r>
      <w:proofErr w:type="spellEnd"/>
      <w:r w:rsidRPr="00B96CAA">
        <w:rPr>
          <w:rFonts w:cs="Times New Roman"/>
          <w:color w:val="000000" w:themeColor="text1"/>
          <w:szCs w:val="24"/>
        </w:rPr>
        <w:t xml:space="preserve">]t is well settled that reapportionment is primarily the duty and responsibility of the State.” The dissenters continued:  </w:t>
      </w:r>
    </w:p>
    <w:p w14:paraId="22C6855A" w14:textId="77777777" w:rsidR="00675288" w:rsidRPr="00B96CAA" w:rsidRDefault="00675288" w:rsidP="00675288">
      <w:pPr>
        <w:widowControl w:val="0"/>
        <w:tabs>
          <w:tab w:val="left" w:pos="720"/>
        </w:tabs>
        <w:autoSpaceDE w:val="0"/>
        <w:autoSpaceDN w:val="0"/>
        <w:adjustRightInd w:val="0"/>
        <w:spacing w:after="120"/>
        <w:ind w:left="720" w:right="720"/>
        <w:jc w:val="both"/>
        <w:rPr>
          <w:rFonts w:cs="Times New Roman"/>
          <w:color w:val="000000" w:themeColor="text1"/>
          <w:szCs w:val="24"/>
        </w:rPr>
      </w:pPr>
      <w:r w:rsidRPr="00B96CAA">
        <w:rPr>
          <w:rFonts w:cs="Times New Roman"/>
          <w:color w:val="000000" w:themeColor="text1"/>
          <w:szCs w:val="24"/>
        </w:rPr>
        <w:t>When a federal court finds that race predominated in the redistricting process, it inserts itself into that process. That is appropriate—indeed, constitutionally required—if the legislature truly did draw district boundaries on the basis of race. But if a court mistakes a political gerrymander for a racial one, it illegitimately invades a traditional domain of state authority, usurping the role of a State’s elected representatives. This does violence to both the proper role of the Judiciary and the powers reserved to the States under the Constitution. There is a final, often-unstated danger where race and politics correlate: that the federal courts will be transformed into weapons of political warfare. Unless courts “exercise extraordinary caution” in distinguishing race-based redistricting from politics-based redistricting, they will invite the losers in the redistricting process to seek to obtain in court what they could not achieve in the political arena. If the majority party draws districts to favor itself, the minority party can deny the majority its political victory by prevailing on a racial gerrymandering claim. Even if the minority party loses in court, it can exact a heavy price by using the judicial process to engage in political trench warfare for years on end.</w:t>
      </w:r>
    </w:p>
    <w:p w14:paraId="34F69614" w14:textId="77777777" w:rsidR="00675288" w:rsidRPr="00B96CAA" w:rsidRDefault="00675288" w:rsidP="00675288">
      <w:pPr>
        <w:widowControl w:val="0"/>
        <w:tabs>
          <w:tab w:val="left" w:pos="720"/>
        </w:tabs>
        <w:autoSpaceDE w:val="0"/>
        <w:autoSpaceDN w:val="0"/>
        <w:adjustRightInd w:val="0"/>
        <w:spacing w:after="120"/>
        <w:jc w:val="both"/>
        <w:rPr>
          <w:rFonts w:cs="Times New Roman"/>
          <w:iCs/>
          <w:color w:val="000000" w:themeColor="text1"/>
          <w:szCs w:val="24"/>
        </w:rPr>
      </w:pPr>
      <w:r w:rsidRPr="00B96CAA">
        <w:rPr>
          <w:rFonts w:cs="Times New Roman"/>
          <w:color w:val="000000" w:themeColor="text1"/>
          <w:szCs w:val="24"/>
        </w:rPr>
        <w:tab/>
        <w:t xml:space="preserve">The two dissenters cited </w:t>
      </w:r>
      <w:r w:rsidRPr="00B96CAA">
        <w:rPr>
          <w:rFonts w:cs="Times New Roman"/>
          <w:i/>
          <w:color w:val="000000" w:themeColor="text1"/>
          <w:szCs w:val="24"/>
        </w:rPr>
        <w:t>Cromartie II</w:t>
      </w:r>
      <w:r w:rsidRPr="00B96CAA">
        <w:rPr>
          <w:rFonts w:cs="Times New Roman"/>
          <w:color w:val="000000" w:themeColor="text1"/>
          <w:szCs w:val="24"/>
        </w:rPr>
        <w:t xml:space="preserve">, one of five challenges to District 12. The dissenters warned that unjustified success in a racial gerrymandering case, might rob the legislature of its </w:t>
      </w:r>
      <w:r w:rsidRPr="00B96CAA">
        <w:rPr>
          <w:rFonts w:cs="Times New Roman"/>
          <w:i/>
          <w:color w:val="000000" w:themeColor="text1"/>
          <w:szCs w:val="24"/>
        </w:rPr>
        <w:t>legitimate</w:t>
      </w:r>
      <w:r w:rsidRPr="00B96CAA">
        <w:rPr>
          <w:rFonts w:cs="Times New Roman"/>
          <w:color w:val="000000" w:themeColor="text1"/>
          <w:szCs w:val="24"/>
        </w:rPr>
        <w:t xml:space="preserve"> political gains. “[C]</w:t>
      </w:r>
      <w:proofErr w:type="spellStart"/>
      <w:r w:rsidRPr="00B96CAA">
        <w:rPr>
          <w:rFonts w:cs="Times New Roman"/>
          <w:color w:val="000000" w:themeColor="text1"/>
          <w:szCs w:val="24"/>
        </w:rPr>
        <w:t>aution</w:t>
      </w:r>
      <w:proofErr w:type="spellEnd"/>
      <w:r w:rsidRPr="00B96CAA">
        <w:rPr>
          <w:rFonts w:cs="Times New Roman"/>
          <w:color w:val="000000" w:themeColor="text1"/>
          <w:szCs w:val="24"/>
        </w:rPr>
        <w:t xml:space="preserve"> ‘is especially appropriate . . . where the State has articulated a legitimate political explanation for its districting decision, and the voting population is one in which race and political affiliation are highly correlated.’”</w:t>
      </w:r>
    </w:p>
    <w:p w14:paraId="72E84292" w14:textId="77777777" w:rsidR="00675288" w:rsidRPr="00B96CAA" w:rsidRDefault="00675288" w:rsidP="00675288">
      <w:pPr>
        <w:widowControl w:val="0"/>
        <w:tabs>
          <w:tab w:val="left" w:pos="720"/>
        </w:tabs>
        <w:autoSpaceDE w:val="0"/>
        <w:autoSpaceDN w:val="0"/>
        <w:adjustRightInd w:val="0"/>
        <w:spacing w:after="120"/>
        <w:jc w:val="both"/>
        <w:rPr>
          <w:rFonts w:cs="Times New Roman"/>
          <w:color w:val="000000" w:themeColor="text1"/>
          <w:szCs w:val="24"/>
        </w:rPr>
      </w:pPr>
      <w:r w:rsidRPr="00B96CAA">
        <w:rPr>
          <w:rFonts w:cs="Times New Roman"/>
          <w:i/>
          <w:iCs/>
          <w:color w:val="000000" w:themeColor="text1"/>
          <w:szCs w:val="24"/>
        </w:rPr>
        <w:tab/>
        <w:t>Cromartie II</w:t>
      </w:r>
      <w:r w:rsidRPr="00B96CAA">
        <w:rPr>
          <w:rFonts w:cs="Times New Roman"/>
          <w:iCs/>
          <w:color w:val="000000" w:themeColor="text1"/>
          <w:szCs w:val="24"/>
        </w:rPr>
        <w:t xml:space="preserve">, like </w:t>
      </w:r>
      <w:r w:rsidRPr="00B96CAA">
        <w:rPr>
          <w:rFonts w:cs="Times New Roman"/>
          <w:i/>
          <w:iCs/>
          <w:color w:val="000000" w:themeColor="text1"/>
          <w:szCs w:val="24"/>
        </w:rPr>
        <w:t>Cooper</w:t>
      </w:r>
      <w:r w:rsidRPr="00B96CAA">
        <w:rPr>
          <w:rFonts w:cs="Times New Roman"/>
          <w:iCs/>
          <w:color w:val="000000" w:themeColor="text1"/>
          <w:szCs w:val="24"/>
        </w:rPr>
        <w:t>,</w:t>
      </w:r>
      <w:r w:rsidRPr="00B96CAA">
        <w:rPr>
          <w:rFonts w:cs="Times New Roman"/>
          <w:color w:val="000000" w:themeColor="text1"/>
          <w:szCs w:val="24"/>
        </w:rPr>
        <w:t xml:space="preserve"> involved the race versus politics conundrum. In </w:t>
      </w:r>
      <w:r w:rsidRPr="00B96CAA">
        <w:rPr>
          <w:rFonts w:cs="Times New Roman"/>
          <w:i/>
          <w:iCs/>
          <w:color w:val="000000" w:themeColor="text1"/>
          <w:szCs w:val="24"/>
        </w:rPr>
        <w:t>Cromartie II</w:t>
      </w:r>
      <w:r w:rsidRPr="00B96CAA">
        <w:rPr>
          <w:rFonts w:cs="Times New Roman"/>
          <w:color w:val="000000" w:themeColor="text1"/>
          <w:szCs w:val="24"/>
        </w:rPr>
        <w:t xml:space="preserve">, the Court reversed the district court’s fact-finding of a racial motive—just the approach the dissenters thought the Court should follow in </w:t>
      </w:r>
      <w:r w:rsidRPr="00B96CAA">
        <w:rPr>
          <w:rFonts w:cs="Times New Roman"/>
          <w:i/>
          <w:color w:val="000000" w:themeColor="text1"/>
          <w:szCs w:val="24"/>
        </w:rPr>
        <w:t>Cooper v. Harris</w:t>
      </w:r>
      <w:r w:rsidRPr="00B96CAA">
        <w:rPr>
          <w:rFonts w:cs="Times New Roman"/>
          <w:color w:val="000000" w:themeColor="text1"/>
          <w:szCs w:val="24"/>
        </w:rPr>
        <w:t xml:space="preserve">. </w:t>
      </w:r>
      <w:r w:rsidRPr="00B96CAA">
        <w:rPr>
          <w:rFonts w:cs="Times New Roman"/>
          <w:i/>
          <w:color w:val="000000" w:themeColor="text1"/>
          <w:szCs w:val="24"/>
        </w:rPr>
        <w:t>Cromartie I</w:t>
      </w:r>
      <w:r w:rsidRPr="00B96CAA">
        <w:rPr>
          <w:rFonts w:cs="Times New Roman"/>
          <w:color w:val="000000" w:themeColor="text1"/>
          <w:szCs w:val="24"/>
        </w:rPr>
        <w:t xml:space="preserve"> was reversed on the grounds that the challengers had failed to show “that the legislature could have achieved its legitimate political objectives in an alternative way” that was “consistent with traditional districting principles” and that the “alternatives would have brought about significantly greater racial balance.” The argument about District 12 highlights the problem of separating the Siamese twin of racial and political gerrymanders as well as the dissenters less negative view of political gerrymanders.</w:t>
      </w:r>
      <w:bookmarkEnd w:id="37"/>
    </w:p>
    <w:p w14:paraId="2063F51A" w14:textId="380E4893" w:rsidR="00E03CAD" w:rsidRPr="00B96CAA" w:rsidRDefault="00675288" w:rsidP="00E03CAD">
      <w:pPr>
        <w:pStyle w:val="Heading2"/>
        <w:jc w:val="center"/>
        <w:rPr>
          <w:rFonts w:cs="Times New Roman"/>
          <w:szCs w:val="24"/>
        </w:rPr>
      </w:pPr>
      <w:bookmarkStart w:id="38" w:name="_Toc16886252"/>
      <w:r w:rsidRPr="00B96CAA">
        <w:rPr>
          <w:rFonts w:cs="Times New Roman"/>
          <w:szCs w:val="24"/>
        </w:rPr>
        <w:lastRenderedPageBreak/>
        <w:t xml:space="preserve">Note: </w:t>
      </w:r>
      <w:r w:rsidRPr="00B96CAA">
        <w:rPr>
          <w:rFonts w:cs="Times New Roman"/>
          <w:i/>
          <w:szCs w:val="24"/>
        </w:rPr>
        <w:t>Covington v. North Carolina</w:t>
      </w:r>
      <w:r w:rsidRPr="00B96CAA">
        <w:rPr>
          <w:rFonts w:cs="Times New Roman"/>
          <w:szCs w:val="24"/>
        </w:rPr>
        <w:t>, 316 F.R.D. 117 (</w:t>
      </w:r>
      <w:r w:rsidR="00060797">
        <w:rPr>
          <w:rFonts w:cs="Times New Roman"/>
          <w:szCs w:val="24"/>
        </w:rPr>
        <w:t xml:space="preserve">MDNC </w:t>
      </w:r>
      <w:r w:rsidRPr="00B96CAA">
        <w:rPr>
          <w:rFonts w:cs="Times New Roman"/>
          <w:szCs w:val="24"/>
        </w:rPr>
        <w:t>2016)</w:t>
      </w:r>
      <w:bookmarkEnd w:id="38"/>
    </w:p>
    <w:p w14:paraId="20572F92" w14:textId="77777777" w:rsidR="00675288" w:rsidRPr="00B96CAA" w:rsidRDefault="00675288" w:rsidP="00675288">
      <w:pPr>
        <w:spacing w:after="120"/>
        <w:jc w:val="both"/>
        <w:rPr>
          <w:rFonts w:cs="Times New Roman"/>
          <w:szCs w:val="24"/>
        </w:rPr>
      </w:pPr>
      <w:r w:rsidRPr="00B96CAA">
        <w:rPr>
          <w:rFonts w:cs="Times New Roman"/>
          <w:szCs w:val="24"/>
        </w:rPr>
        <w:tab/>
        <w:t>In 2011, after their smashing win in the 2010 election, Republicans in control of the North Carolina General Assembly redistricted both houses of the state legislature.  Among their objectives, two were not to be deviated from when possible.  First, wherever a district could be constructed with 50%+ black voting age population, it should be created.  Second, there should be blacks in the legislature in proportion to the black voting age population of the state.   The Republican co-chairs of the redistricting committee justified these “targets” or quotas, as mandated by Sections 2 &amp; 5 of the Voting Rights Act or at least as justified by the need to create a safe harbor against a successful Voting Rights Act suit.</w:t>
      </w:r>
    </w:p>
    <w:p w14:paraId="4BC8C5A3" w14:textId="77777777" w:rsidR="00675288" w:rsidRPr="00B96CAA" w:rsidRDefault="00675288" w:rsidP="00675288">
      <w:pPr>
        <w:spacing w:after="120"/>
        <w:jc w:val="both"/>
        <w:rPr>
          <w:rFonts w:cs="Times New Roman"/>
          <w:szCs w:val="24"/>
        </w:rPr>
      </w:pPr>
      <w:r w:rsidRPr="00B96CAA">
        <w:rPr>
          <w:rFonts w:cs="Times New Roman"/>
          <w:szCs w:val="24"/>
        </w:rPr>
        <w:tab/>
        <w:t xml:space="preserve">The racial districting paid political dividends.  In the prior districts which were redrawn, black candidates with support from whites and other ethnic groups often had been winning elections by landslide-like majorities—with less than 50% black voting age population in the districts.  Packing more blacks into majority black districts wasted black votes, and the votes were most often Democratic.  It also drained black voters out of other districts that had been won by white Democrats—undermining white incumbents—and making the parties in the legislature look more like a black and white party.  The legislature also drew white state senator Linda </w:t>
      </w:r>
      <w:proofErr w:type="spellStart"/>
      <w:r w:rsidRPr="00B96CAA">
        <w:rPr>
          <w:rFonts w:cs="Times New Roman"/>
          <w:szCs w:val="24"/>
        </w:rPr>
        <w:t>Garrou</w:t>
      </w:r>
      <w:proofErr w:type="spellEnd"/>
      <w:r w:rsidRPr="00B96CAA">
        <w:rPr>
          <w:rFonts w:cs="Times New Roman"/>
          <w:szCs w:val="24"/>
        </w:rPr>
        <w:t xml:space="preserve"> out of her district which had a large but not majority black population, most of whom had supported Senator </w:t>
      </w:r>
      <w:proofErr w:type="spellStart"/>
      <w:r w:rsidRPr="00B96CAA">
        <w:rPr>
          <w:rFonts w:cs="Times New Roman"/>
          <w:szCs w:val="24"/>
        </w:rPr>
        <w:t>Garrou</w:t>
      </w:r>
      <w:proofErr w:type="spellEnd"/>
      <w:r w:rsidRPr="00B96CAA">
        <w:rPr>
          <w:rFonts w:cs="Times New Roman"/>
          <w:szCs w:val="24"/>
        </w:rPr>
        <w:t xml:space="preserve">.  The object expressed by Senator </w:t>
      </w:r>
      <w:proofErr w:type="spellStart"/>
      <w:r w:rsidRPr="00B96CAA">
        <w:rPr>
          <w:rFonts w:cs="Times New Roman"/>
          <w:szCs w:val="24"/>
        </w:rPr>
        <w:t>Rucho</w:t>
      </w:r>
      <w:proofErr w:type="spellEnd"/>
      <w:r w:rsidRPr="00B96CAA">
        <w:rPr>
          <w:rFonts w:cs="Times New Roman"/>
          <w:szCs w:val="24"/>
        </w:rPr>
        <w:t>, the senate redistricting chair, was to increase the chances that a black candidate would win the seat instead of the white state senator.  Other white Democrats were also drawn out of their districts or potential districts.</w:t>
      </w:r>
    </w:p>
    <w:p w14:paraId="7052D0A2" w14:textId="77777777" w:rsidR="00675288" w:rsidRPr="00B96CAA" w:rsidRDefault="00675288" w:rsidP="00675288">
      <w:pPr>
        <w:spacing w:after="120"/>
        <w:ind w:firstLine="720"/>
        <w:jc w:val="both"/>
        <w:rPr>
          <w:rFonts w:cs="Times New Roman"/>
          <w:szCs w:val="24"/>
        </w:rPr>
      </w:pPr>
      <w:r w:rsidRPr="00B96CAA">
        <w:rPr>
          <w:rFonts w:cs="Times New Roman"/>
          <w:szCs w:val="24"/>
        </w:rPr>
        <w:t>North Carolina voters challenged twenty-eight of the new State Senate and House of Representative districts as unconstitutional racial gerrymanders created “through the predominant and unjustified use of race” in violation of the Equal Protection Clause of the 14th Amendment.  Defendants—the redistricting co-chairs—argued in response that race was not the primary consideration in the 2011 redistricting, and that, even if it was, the North Carolina General Assembly’s use of race was justified as to comply with its obligations under sections 2 and 5 of the Voting Rights Act or to protect against potential Voting Rights Acts suits.</w:t>
      </w:r>
    </w:p>
    <w:p w14:paraId="341ACF90" w14:textId="11898FA9" w:rsidR="00675288" w:rsidRPr="00B96CAA" w:rsidRDefault="00675288" w:rsidP="00675288">
      <w:pPr>
        <w:spacing w:after="120"/>
        <w:rPr>
          <w:rFonts w:cs="Times New Roman"/>
          <w:szCs w:val="24"/>
        </w:rPr>
      </w:pPr>
      <w:r w:rsidRPr="00B96CAA">
        <w:rPr>
          <w:rFonts w:cs="Times New Roman"/>
          <w:szCs w:val="24"/>
        </w:rPr>
        <w:tab/>
        <w:t xml:space="preserve">The three-judge federal court found that race predominated in drawing the districts and that the legislature had failed to show a strong reason to believe the districts were narrowly tailored to achieve a compelling Voting Rights Act objective.  That supposed objective would be to prevent white bloc voting from usually defeating candidates preferred by black voters in the newly created districts.  Eventually, districts were redrawn, some by agreement of the parties to the suit and, where they failed to agree, some by court order.  As to the purported voting rights districts, the decision in </w:t>
      </w:r>
      <w:r w:rsidRPr="00B96CAA">
        <w:rPr>
          <w:rFonts w:cs="Times New Roman"/>
          <w:i/>
          <w:szCs w:val="24"/>
        </w:rPr>
        <w:t>Covington v. North Carolina</w:t>
      </w:r>
      <w:r w:rsidRPr="00B96CAA">
        <w:rPr>
          <w:rFonts w:cs="Times New Roman"/>
          <w:szCs w:val="24"/>
        </w:rPr>
        <w:t xml:space="preserve"> was summarily affirmed without opinion by the United States Supreme Court</w:t>
      </w:r>
      <w:r w:rsidR="0063530F" w:rsidRPr="00B96CAA">
        <w:rPr>
          <w:rFonts w:cs="Times New Roman"/>
          <w:szCs w:val="24"/>
        </w:rPr>
        <w:t xml:space="preserve"> [</w:t>
      </w:r>
      <w:r w:rsidR="0063530F" w:rsidRPr="00B96CAA">
        <w:rPr>
          <w:rFonts w:cs="Times New Roman"/>
          <w:i/>
          <w:szCs w:val="24"/>
        </w:rPr>
        <w:t xml:space="preserve">North Carolina v. Covington </w:t>
      </w:r>
      <w:r w:rsidR="0063530F" w:rsidRPr="00B96CAA">
        <w:rPr>
          <w:rFonts w:cs="Times New Roman"/>
          <w:szCs w:val="24"/>
        </w:rPr>
        <w:t>(2017)]</w:t>
      </w:r>
      <w:r w:rsidRPr="00B96CAA">
        <w:rPr>
          <w:rFonts w:cs="Times New Roman"/>
          <w:szCs w:val="24"/>
        </w:rPr>
        <w:t xml:space="preserve">, presumably on grounds similar to those in </w:t>
      </w:r>
      <w:r w:rsidRPr="00B96CAA">
        <w:rPr>
          <w:rFonts w:cs="Times New Roman"/>
          <w:i/>
          <w:szCs w:val="24"/>
        </w:rPr>
        <w:t>Cooper v. Harris</w:t>
      </w:r>
      <w:r w:rsidRPr="00B96CAA">
        <w:rPr>
          <w:rFonts w:cs="Times New Roman"/>
          <w:szCs w:val="24"/>
        </w:rPr>
        <w:t>, the congressional case—failure of the defendants to show that there were strong reasons to believe that the racial “targets” were reasonably necessary to serve the purported Voting Rights interest.</w:t>
      </w:r>
    </w:p>
    <w:p w14:paraId="039992C5" w14:textId="77777777" w:rsidR="00675288" w:rsidRPr="00B96CAA" w:rsidRDefault="00675288" w:rsidP="00675288">
      <w:pPr>
        <w:spacing w:after="0" w:line="240" w:lineRule="auto"/>
        <w:rPr>
          <w:rFonts w:cs="Times New Roman"/>
          <w:szCs w:val="24"/>
        </w:rPr>
      </w:pPr>
    </w:p>
    <w:p w14:paraId="35A03FAC" w14:textId="6AFA5F84" w:rsidR="00675288" w:rsidRPr="00B96CAA" w:rsidRDefault="00675288" w:rsidP="00675288">
      <w:pPr>
        <w:pStyle w:val="Heading2"/>
        <w:jc w:val="center"/>
        <w:rPr>
          <w:rFonts w:cs="Times New Roman"/>
          <w:szCs w:val="24"/>
        </w:rPr>
      </w:pPr>
      <w:bookmarkStart w:id="39" w:name="_Toc16886253"/>
      <w:r w:rsidRPr="00B96CAA">
        <w:rPr>
          <w:rFonts w:cs="Times New Roman"/>
          <w:szCs w:val="24"/>
        </w:rPr>
        <w:lastRenderedPageBreak/>
        <w:t>Note</w:t>
      </w:r>
      <w:r w:rsidRPr="00B96CAA">
        <w:rPr>
          <w:rFonts w:cs="Times New Roman"/>
          <w:b w:val="0"/>
          <w:szCs w:val="24"/>
        </w:rPr>
        <w:t xml:space="preserve">: </w:t>
      </w:r>
      <w:r w:rsidRPr="00B96CAA">
        <w:rPr>
          <w:rFonts w:cs="Times New Roman"/>
          <w:i/>
          <w:szCs w:val="24"/>
        </w:rPr>
        <w:t xml:space="preserve">Gill v. </w:t>
      </w:r>
      <w:proofErr w:type="spellStart"/>
      <w:r w:rsidRPr="00B96CAA">
        <w:rPr>
          <w:rFonts w:cs="Times New Roman"/>
          <w:i/>
          <w:szCs w:val="24"/>
        </w:rPr>
        <w:t>Whitford</w:t>
      </w:r>
      <w:proofErr w:type="spellEnd"/>
      <w:r w:rsidRPr="00B96CAA">
        <w:rPr>
          <w:rFonts w:cs="Times New Roman"/>
          <w:szCs w:val="24"/>
        </w:rPr>
        <w:t xml:space="preserve"> (2018)</w:t>
      </w:r>
      <w:bookmarkEnd w:id="39"/>
    </w:p>
    <w:p w14:paraId="781D1197" w14:textId="77777777" w:rsidR="001B44A0" w:rsidRDefault="00675288" w:rsidP="001B44A0">
      <w:r w:rsidRPr="00B96CAA">
        <w:rPr>
          <w:rFonts w:cs="Times New Roman"/>
          <w:b/>
          <w:szCs w:val="24"/>
        </w:rPr>
        <w:tab/>
      </w:r>
      <w:r w:rsidRPr="00B96CAA">
        <w:rPr>
          <w:rFonts w:cs="Times New Roman"/>
          <w:szCs w:val="24"/>
        </w:rPr>
        <w:t xml:space="preserve">In </w:t>
      </w:r>
      <w:r w:rsidRPr="00B96CAA">
        <w:rPr>
          <w:rFonts w:cs="Times New Roman"/>
          <w:i/>
          <w:szCs w:val="24"/>
        </w:rPr>
        <w:t>Gill</w:t>
      </w:r>
      <w:r w:rsidRPr="00B96CAA">
        <w:rPr>
          <w:rFonts w:cs="Times New Roman"/>
          <w:szCs w:val="24"/>
        </w:rPr>
        <w:t xml:space="preserve">, the Court invoked the doctrine of standing to bypass consideration of the extent to which political gerrymandering of state legislative districts might violate the First Amendment’s right to association and the Fourteenth Amendment’s right to equal protection. </w:t>
      </w:r>
      <w:r w:rsidR="001B44A0">
        <w:t xml:space="preserve">Roberts, C. J., delivered the opinion of the Court, in which Kennedy, Ginsburg, Breyer, Alito, Sotomayor, and Kagan, JJ., joined, and in which Thomas and Gorsuch, JJ., joined except as to Part III. </w:t>
      </w:r>
    </w:p>
    <w:p w14:paraId="1BFCB26F" w14:textId="44C6AD58" w:rsidR="00675288" w:rsidRPr="00B96CAA" w:rsidRDefault="00675288" w:rsidP="001B44A0">
      <w:pPr>
        <w:ind w:firstLine="720"/>
        <w:rPr>
          <w:rFonts w:cs="Times New Roman"/>
          <w:szCs w:val="24"/>
        </w:rPr>
      </w:pPr>
      <w:r w:rsidRPr="00B96CAA">
        <w:rPr>
          <w:rFonts w:cs="Times New Roman"/>
          <w:szCs w:val="24"/>
        </w:rPr>
        <w:t xml:space="preserve">The Court remanded the case to provide the plaintiffs with an opportunity to prove that they had suffered concrete and particularized injuries that burdened their individual votes. Although the Court’s decision on standing was unanimous, </w:t>
      </w:r>
      <w:r w:rsidR="001B44A0">
        <w:rPr>
          <w:rFonts w:cs="Times New Roman"/>
          <w:szCs w:val="24"/>
        </w:rPr>
        <w:t xml:space="preserve">Justice Kagan, joined by Ginsburg, Breyer, and Sotomayor, JJ., </w:t>
      </w:r>
      <w:r w:rsidRPr="00B96CAA">
        <w:rPr>
          <w:rFonts w:cs="Times New Roman"/>
          <w:szCs w:val="24"/>
        </w:rPr>
        <w:t xml:space="preserve">vigorously argued that “extreme partisan gerrymanders” are unconstitutional. </w:t>
      </w:r>
    </w:p>
    <w:p w14:paraId="485609B1" w14:textId="77777777" w:rsidR="00675288" w:rsidRPr="00B96CAA" w:rsidRDefault="00675288" w:rsidP="00675288">
      <w:pPr>
        <w:rPr>
          <w:rFonts w:cs="Times New Roman"/>
          <w:szCs w:val="24"/>
        </w:rPr>
      </w:pPr>
      <w:r w:rsidRPr="00B96CAA">
        <w:rPr>
          <w:rFonts w:cs="Times New Roman"/>
          <w:szCs w:val="24"/>
        </w:rPr>
        <w:tab/>
        <w:t xml:space="preserve">The plaintiffs alleged that the Wisconsin legislature, in which Republicans had majorities in both houses, had violated the constitutional rights of Democratic voters by “cracking” and “packing” such voters. The plaintiffs explained that “[c]racking means dividing a party’s supporters among multiple districts so that they fall short of a majority in each one. Packing means concentrating one party’s backers in a few districts that they win by overwhelming margins.” Such practices are used in apportioning seats in most of the states of the Union. The plaintiffs contended that “the degree to which packing and cracking has favored one party over another can be measured by a single calculation: an ‘efficiency gap’ that compares each party’s respective ‘wasted’ votes across all legislative districts. ‘Wasted’ votes are those cast for a losing candidate or for a winning candidate in excess of what that candidate needs to win.” The plaintiffs contended that the legislature’s apportionment of seats “resulted in an unusually large efficiency gap that favored Republicans.” </w:t>
      </w:r>
    </w:p>
    <w:p w14:paraId="27BE9C13" w14:textId="77777777" w:rsidR="00675288" w:rsidRPr="00B96CAA" w:rsidRDefault="00675288" w:rsidP="00675288">
      <w:pPr>
        <w:rPr>
          <w:rFonts w:cs="Times New Roman"/>
          <w:szCs w:val="24"/>
        </w:rPr>
      </w:pPr>
      <w:r w:rsidRPr="00B96CAA">
        <w:rPr>
          <w:rFonts w:cs="Times New Roman"/>
          <w:szCs w:val="24"/>
        </w:rPr>
        <w:tab/>
        <w:t xml:space="preserve">A federal district court in Wisconsin held that the plaintiffs demonstrated a violation of the rights to association and equal protection. The court held that redistricting of legislative seats is unconstitutional if it “(1) is intended to place a severe impediment on the effectiveness of the votes of individual citizens on the basis of their political affiliation, (2) has that effect, and (3) cannot be justified on other, legitimate legislative grounds.” Although the court found that Wisconsin Republicans enjoyed a modest natural advantage because Democratic votes tended to be concentrated in Milwaukee and Madison, it determined that “this inherent geographical disparity did not account for the magnitude of the Republican advantage.” The court held that the plaintiffs had standing because the legislation prevented “Wisconsin Democrats from being able to translate their votes into seats as effectively as Wisconsin Republicans” and the “dilution of their votes is both personal and acute.” A dissenting judge argued that the precedents of the U.S. Supreme Court demonstrated that “partisan intent” to benefit a particular party “is not illegal, but is simply the consequence of assigning the task of redistricting to the political branches.” </w:t>
      </w:r>
    </w:p>
    <w:p w14:paraId="56765766" w14:textId="77777777" w:rsidR="00675288" w:rsidRPr="00B96CAA" w:rsidRDefault="00675288" w:rsidP="00675288">
      <w:pPr>
        <w:rPr>
          <w:rFonts w:cs="Times New Roman"/>
          <w:szCs w:val="24"/>
        </w:rPr>
      </w:pPr>
      <w:r w:rsidRPr="00B96CAA">
        <w:rPr>
          <w:rFonts w:cs="Times New Roman"/>
          <w:szCs w:val="24"/>
        </w:rPr>
        <w:tab/>
        <w:t xml:space="preserve">On appeal, the Court acknowledged that its previous </w:t>
      </w:r>
      <w:proofErr w:type="spellStart"/>
      <w:r w:rsidRPr="00B96CAA">
        <w:rPr>
          <w:rFonts w:cs="Times New Roman"/>
          <w:szCs w:val="24"/>
        </w:rPr>
        <w:t>gerrymanding</w:t>
      </w:r>
      <w:proofErr w:type="spellEnd"/>
      <w:r w:rsidRPr="00B96CAA">
        <w:rPr>
          <w:rFonts w:cs="Times New Roman"/>
          <w:szCs w:val="24"/>
        </w:rPr>
        <w:t xml:space="preserve"> decisions had “few clear landmarks” and had “generated conflicting views both of how to conceive of the injury </w:t>
      </w:r>
      <w:r w:rsidRPr="00B96CAA">
        <w:rPr>
          <w:rFonts w:cs="Times New Roman"/>
          <w:szCs w:val="24"/>
        </w:rPr>
        <w:lastRenderedPageBreak/>
        <w:t xml:space="preserve">arising from partisan gerrymandering and of the appropriate role for the Federal Judiciary in remedying that injury.” In the Court’s most recent decision, </w:t>
      </w:r>
      <w:proofErr w:type="spellStart"/>
      <w:r w:rsidRPr="00B96CAA">
        <w:rPr>
          <w:rFonts w:cs="Times New Roman"/>
          <w:i/>
          <w:szCs w:val="24"/>
        </w:rPr>
        <w:t>Vieth</w:t>
      </w:r>
      <w:proofErr w:type="spellEnd"/>
      <w:r w:rsidRPr="00B96CAA">
        <w:rPr>
          <w:rFonts w:cs="Times New Roman"/>
          <w:i/>
          <w:szCs w:val="24"/>
        </w:rPr>
        <w:t xml:space="preserve"> v. </w:t>
      </w:r>
      <w:proofErr w:type="spellStart"/>
      <w:r w:rsidRPr="00B96CAA">
        <w:rPr>
          <w:rFonts w:cs="Times New Roman"/>
          <w:i/>
          <w:szCs w:val="24"/>
        </w:rPr>
        <w:t>Jubelirer</w:t>
      </w:r>
      <w:proofErr w:type="spellEnd"/>
      <w:r w:rsidRPr="00B96CAA">
        <w:rPr>
          <w:rFonts w:cs="Times New Roman"/>
          <w:szCs w:val="24"/>
        </w:rPr>
        <w:t xml:space="preserve"> (2004), a four-Justice plurality held that the political question doctrine barred adjudication because of the absence of any “judicially discernable and manageable standard” for a decision.</w:t>
      </w:r>
    </w:p>
    <w:p w14:paraId="1503BD5F" w14:textId="77777777" w:rsidR="00675288" w:rsidRPr="00B96CAA" w:rsidRDefault="00675288" w:rsidP="00675288">
      <w:pPr>
        <w:rPr>
          <w:rFonts w:cs="Times New Roman"/>
          <w:szCs w:val="24"/>
        </w:rPr>
      </w:pPr>
      <w:r w:rsidRPr="00B96CAA">
        <w:rPr>
          <w:rFonts w:cs="Times New Roman"/>
          <w:szCs w:val="24"/>
        </w:rPr>
        <w:tab/>
        <w:t xml:space="preserve">In determining that the plaintiffs lacked standing, the Court explained that their complaint of vote dilution needed to be specific to the district in which they resided rather than state-wide, in contrast with the plaintiffs in </w:t>
      </w:r>
      <w:r w:rsidRPr="00B96CAA">
        <w:rPr>
          <w:rFonts w:cs="Times New Roman"/>
          <w:i/>
          <w:szCs w:val="24"/>
        </w:rPr>
        <w:t xml:space="preserve">Baker v. </w:t>
      </w:r>
      <w:proofErr w:type="spellStart"/>
      <w:r w:rsidRPr="00B96CAA">
        <w:rPr>
          <w:rFonts w:cs="Times New Roman"/>
          <w:i/>
          <w:szCs w:val="24"/>
        </w:rPr>
        <w:t>Carr</w:t>
      </w:r>
      <w:proofErr w:type="spellEnd"/>
      <w:r w:rsidRPr="00B96CAA">
        <w:rPr>
          <w:rFonts w:cs="Times New Roman"/>
          <w:szCs w:val="24"/>
        </w:rPr>
        <w:t xml:space="preserve"> and </w:t>
      </w:r>
      <w:r w:rsidRPr="00B96CAA">
        <w:rPr>
          <w:rFonts w:cs="Times New Roman"/>
          <w:i/>
          <w:szCs w:val="24"/>
        </w:rPr>
        <w:t>Reynolds v. Sims</w:t>
      </w:r>
      <w:r w:rsidRPr="00B96CAA">
        <w:rPr>
          <w:rFonts w:cs="Times New Roman"/>
          <w:szCs w:val="24"/>
        </w:rPr>
        <w:t xml:space="preserve">, who had standing because they were able to assert that districts throughout the state had been malapportioned. The Court explained that “[h]ere, the plaintiffs’ partisan gerrymandering claims turn on allegations that their votes have been diluted. That harm arises from the particular composition of the voter’s own district, which causes his vote – having been packed or cracked – to carry less weight than it would carry in another, hypothetical district. Remedying the individual voter’s harm, therefore, does not necessarily require restructuring all of the State’s legislative districts. It requires revising only such districts as are necessary to reshape the voter’s district – so that the voter may be unpacked or uncracked, as the case may be.” The Court explained that a “citizen’s interest in the overall composition of the legislature is embodied in his right to vote for his representative. And the citizen’s abstract interest in policies adopted by the legislature on the facts here is a nonjusticiable ‘general interest common to all members of the public,’” </w:t>
      </w:r>
      <w:r w:rsidRPr="00B96CAA">
        <w:rPr>
          <w:rFonts w:cs="Times New Roman"/>
          <w:i/>
          <w:szCs w:val="24"/>
        </w:rPr>
        <w:t>citing Ex parte Levitt</w:t>
      </w:r>
      <w:r w:rsidRPr="00B96CAA">
        <w:rPr>
          <w:rFonts w:cs="Times New Roman"/>
          <w:szCs w:val="24"/>
        </w:rPr>
        <w:t xml:space="preserve"> (1937). </w:t>
      </w:r>
    </w:p>
    <w:p w14:paraId="4B84ACC5" w14:textId="77777777" w:rsidR="00675288" w:rsidRPr="00B96CAA" w:rsidRDefault="00675288" w:rsidP="00675288">
      <w:pPr>
        <w:rPr>
          <w:rFonts w:cs="Times New Roman"/>
          <w:szCs w:val="24"/>
        </w:rPr>
      </w:pPr>
      <w:r w:rsidRPr="00B96CAA">
        <w:rPr>
          <w:rFonts w:cs="Times New Roman"/>
          <w:szCs w:val="24"/>
        </w:rPr>
        <w:tab/>
        <w:t xml:space="preserve">The Court likewise explained that the plaintiffs lacked standing because they based their complaint on a theory of statewide injury to the Democratic party rather than attempting to provide that they lived in packed or cracked districts. </w:t>
      </w:r>
    </w:p>
    <w:p w14:paraId="3BE4D171" w14:textId="77777777" w:rsidR="00675288" w:rsidRPr="00B96CAA" w:rsidRDefault="00675288" w:rsidP="00675288">
      <w:pPr>
        <w:rPr>
          <w:rFonts w:cs="Times New Roman"/>
          <w:szCs w:val="24"/>
        </w:rPr>
      </w:pPr>
      <w:r w:rsidRPr="00B96CAA">
        <w:rPr>
          <w:rFonts w:cs="Times New Roman"/>
          <w:szCs w:val="24"/>
        </w:rPr>
        <w:tab/>
        <w:t xml:space="preserve">Accordingly, the Court remanded the case to the district court to provide plaintiffs with “an opportunity to prove concrete and particularized injuries using evidence – unlike the bulk of the evidence presented thus far – that would tend to demonstrate a burden on their individual votes.” </w:t>
      </w:r>
    </w:p>
    <w:p w14:paraId="5443A7A7" w14:textId="7494B1F3" w:rsidR="00675288" w:rsidRPr="00B96CAA" w:rsidRDefault="00675288" w:rsidP="00675288">
      <w:pPr>
        <w:rPr>
          <w:rFonts w:cs="Times New Roman"/>
          <w:szCs w:val="24"/>
        </w:rPr>
      </w:pPr>
      <w:r w:rsidRPr="00B96CAA">
        <w:rPr>
          <w:rFonts w:cs="Times New Roman"/>
          <w:szCs w:val="24"/>
        </w:rPr>
        <w:tab/>
        <w:t xml:space="preserve">In a concurring opinion, Justice Kagan, </w:t>
      </w:r>
      <w:r w:rsidR="001B44A0">
        <w:rPr>
          <w:rFonts w:cs="Times New Roman"/>
          <w:szCs w:val="24"/>
        </w:rPr>
        <w:t xml:space="preserve">joined by </w:t>
      </w:r>
      <w:r w:rsidRPr="00B96CAA">
        <w:rPr>
          <w:rFonts w:cs="Times New Roman"/>
          <w:szCs w:val="24"/>
        </w:rPr>
        <w:t>Ginsburg, Breyer, and Sotomayor</w:t>
      </w:r>
      <w:r w:rsidR="001B44A0">
        <w:rPr>
          <w:rFonts w:cs="Times New Roman"/>
          <w:szCs w:val="24"/>
        </w:rPr>
        <w:t xml:space="preserve">, JJ., </w:t>
      </w:r>
      <w:r w:rsidRPr="00B96CAA">
        <w:rPr>
          <w:rFonts w:cs="Times New Roman"/>
          <w:szCs w:val="24"/>
        </w:rPr>
        <w:t>argued that the Court could declare partisan gerrymandering to be unconstitutional if the plaintiffs satisfied the Court’s standing requirements. Kagan</w:t>
      </w:r>
      <w:r w:rsidR="001B44A0">
        <w:rPr>
          <w:rFonts w:cs="Times New Roman"/>
          <w:szCs w:val="24"/>
        </w:rPr>
        <w:t xml:space="preserve"> </w:t>
      </w:r>
      <w:r w:rsidRPr="00B96CAA">
        <w:rPr>
          <w:rFonts w:cs="Times New Roman"/>
          <w:szCs w:val="24"/>
        </w:rPr>
        <w:t xml:space="preserve">contended that the plaintiffs could also assert an associational claim under the First Amendment if they could demonstrate harm to their political party insofar as [m]embers of the ‘disfavored party’…deprived of their natural political strength by a partisan gerrymander, may face difficulties fundraising, registering voters, attracting volunteers, generating support from independents, and recruiting candidates to run for office.” </w:t>
      </w:r>
    </w:p>
    <w:p w14:paraId="42839612" w14:textId="2A4E4E12" w:rsidR="00675288" w:rsidRDefault="00675288" w:rsidP="00675288">
      <w:pPr>
        <w:ind w:firstLine="720"/>
        <w:rPr>
          <w:rFonts w:cs="Times New Roman"/>
          <w:szCs w:val="24"/>
        </w:rPr>
      </w:pPr>
      <w:r w:rsidRPr="00B96CAA">
        <w:rPr>
          <w:rFonts w:cs="Times New Roman"/>
          <w:szCs w:val="24"/>
        </w:rPr>
        <w:t xml:space="preserve">Anticipating the merits of a political gerrymandering claim, Kagan declared that partisan gerrymandering “jeopardizes ‘[t]he ordered working of our Republic, and of the democratic process,” </w:t>
      </w:r>
      <w:r w:rsidRPr="00B96CAA">
        <w:rPr>
          <w:rFonts w:cs="Times New Roman"/>
          <w:i/>
          <w:szCs w:val="24"/>
        </w:rPr>
        <w:t xml:space="preserve">quoting </w:t>
      </w:r>
      <w:proofErr w:type="spellStart"/>
      <w:r w:rsidRPr="00B96CAA">
        <w:rPr>
          <w:rFonts w:cs="Times New Roman"/>
          <w:i/>
          <w:szCs w:val="24"/>
        </w:rPr>
        <w:t>Veith</w:t>
      </w:r>
      <w:proofErr w:type="spellEnd"/>
      <w:r w:rsidRPr="00B96CAA">
        <w:rPr>
          <w:rFonts w:cs="Times New Roman"/>
          <w:i/>
          <w:szCs w:val="24"/>
        </w:rPr>
        <w:t>, supra</w:t>
      </w:r>
      <w:r w:rsidRPr="00B96CAA">
        <w:rPr>
          <w:rFonts w:cs="Times New Roman"/>
          <w:szCs w:val="24"/>
        </w:rPr>
        <w:t xml:space="preserve"> (concurring opinion of Justice Kennedy). Kagan contended that </w:t>
      </w:r>
      <w:r w:rsidRPr="00B96CAA">
        <w:rPr>
          <w:rFonts w:cs="Times New Roman"/>
          <w:szCs w:val="24"/>
        </w:rPr>
        <w:lastRenderedPageBreak/>
        <w:t xml:space="preserve">this “practice enables politicians to entrench themselves in power against the people’s will. And only the courts can do anything to remedy the problem, because gerrymanders benefit those who control the political branches.”  Kagan also argued that “the evils of gerrymandering seep into the legislative process itself,” through ways including “indifference to swing voters and their views; extreme political positioning designed to placate the party’s base and fend off primary challenges; the devaluing of negotiation and compromise; and the impossibility of reaching pragmatic, bipartisan solutions to the nation’s problems.” Although Kagan acknowledged that “partisan gerrymandering goes back to the Republic’s earliest days,” she asserted that “technology makes today’s gerrymandering altogether different from the crude </w:t>
      </w:r>
      <w:proofErr w:type="spellStart"/>
      <w:r w:rsidRPr="00B96CAA">
        <w:rPr>
          <w:rFonts w:cs="Times New Roman"/>
          <w:szCs w:val="24"/>
        </w:rPr>
        <w:t>linedrawing</w:t>
      </w:r>
      <w:proofErr w:type="spellEnd"/>
      <w:r w:rsidRPr="00B96CAA">
        <w:rPr>
          <w:rFonts w:cs="Times New Roman"/>
          <w:szCs w:val="24"/>
        </w:rPr>
        <w:t xml:space="preserve"> of the past. New redistricting software enables pinpoint precision in designing districts. With such tools, mapmakers can capture every last bit of partisan advantage, while still meeting traditional districting requirements (compactness, contiguity, and the like)…Gerrymanders have thus become ever more extreme and durable, insulating officeholders against all but the most titanic shifts in the political tides. The 2010 redistricting cycle produced some of the worst partisan gerrymanders on record…The technology will only get better, so the 2020 cycle will only get worse.” </w:t>
      </w:r>
    </w:p>
    <w:p w14:paraId="673E3E34" w14:textId="77777777" w:rsidR="007B45D7" w:rsidRDefault="007B45D7" w:rsidP="006C08C8">
      <w:pPr>
        <w:pStyle w:val="Heading2"/>
        <w:jc w:val="center"/>
      </w:pPr>
      <w:bookmarkStart w:id="40" w:name="_Toc16886254"/>
      <w:r>
        <w:t xml:space="preserve">Note: </w:t>
      </w:r>
      <w:proofErr w:type="spellStart"/>
      <w:r w:rsidRPr="000234D3">
        <w:rPr>
          <w:i/>
        </w:rPr>
        <w:t>Rucho</w:t>
      </w:r>
      <w:proofErr w:type="spellEnd"/>
      <w:r w:rsidRPr="000234D3">
        <w:rPr>
          <w:i/>
        </w:rPr>
        <w:t xml:space="preserve"> v. Common Cause</w:t>
      </w:r>
      <w:r>
        <w:t xml:space="preserve"> </w:t>
      </w:r>
      <w:r w:rsidRPr="00E87BD0">
        <w:t>(2019)</w:t>
      </w:r>
      <w:bookmarkEnd w:id="40"/>
    </w:p>
    <w:p w14:paraId="4C3CC4B6" w14:textId="0D867FB2" w:rsidR="007B45D7" w:rsidRPr="00C40F80" w:rsidRDefault="007B45D7" w:rsidP="007B45D7">
      <w:pPr>
        <w:rPr>
          <w:szCs w:val="24"/>
        </w:rPr>
      </w:pPr>
      <w:r w:rsidRPr="002F02FE">
        <w:rPr>
          <w:b/>
          <w:szCs w:val="24"/>
        </w:rPr>
        <w:tab/>
      </w:r>
      <w:r w:rsidRPr="002F02FE">
        <w:rPr>
          <w:szCs w:val="24"/>
        </w:rPr>
        <w:t xml:space="preserve">In a five-to-four decision, the Court held that adjudication of challenges to political gerrymandering is barred by the political question doctrine because of the lack of judicially manageable standards. </w:t>
      </w:r>
      <w:r w:rsidR="006D05F3">
        <w:rPr>
          <w:szCs w:val="24"/>
        </w:rPr>
        <w:t xml:space="preserve"> </w:t>
      </w:r>
      <w:r w:rsidR="003A67E5" w:rsidRPr="00C40F80">
        <w:rPr>
          <w:szCs w:val="24"/>
        </w:rPr>
        <w:t xml:space="preserve">The Court said some degree of partisanship is permissible in drawing legislative district lines </w:t>
      </w:r>
      <w:r w:rsidR="00D669B7" w:rsidRPr="00C40F80">
        <w:rPr>
          <w:szCs w:val="24"/>
        </w:rPr>
        <w:t>but held</w:t>
      </w:r>
      <w:r w:rsidR="003A67E5" w:rsidRPr="00C40F80">
        <w:rPr>
          <w:szCs w:val="24"/>
        </w:rPr>
        <w:t xml:space="preserve"> there is no judicially manageable standard for establishing how much is too much.</w:t>
      </w:r>
    </w:p>
    <w:p w14:paraId="62164C2F" w14:textId="77777777" w:rsidR="007B45D7" w:rsidRPr="002F02FE" w:rsidRDefault="007B45D7" w:rsidP="007B45D7">
      <w:pPr>
        <w:rPr>
          <w:szCs w:val="24"/>
        </w:rPr>
      </w:pPr>
      <w:r w:rsidRPr="002F02FE">
        <w:rPr>
          <w:szCs w:val="24"/>
        </w:rPr>
        <w:tab/>
        <w:t xml:space="preserve">The plaintiffs had objected to efforts by Republican state legislators in North Carolina and Democratic legislators in Maryland to draw congressional voting districts in a manner that would maximize the number of districts that would be likely to elect members of their own party. The North Carolina plan resulted in the election of ten Republicans in the state’s thirteen congressional districts in 2016, and the Maryland plan was designed to ensure the election of Democrats in seven of the state’s eight congressional districts. </w:t>
      </w:r>
    </w:p>
    <w:p w14:paraId="1360BCDD" w14:textId="77777777" w:rsidR="007B45D7" w:rsidRPr="002F02FE" w:rsidRDefault="007B45D7" w:rsidP="007B45D7">
      <w:pPr>
        <w:rPr>
          <w:szCs w:val="24"/>
        </w:rPr>
      </w:pPr>
      <w:r w:rsidRPr="002F02FE">
        <w:rPr>
          <w:szCs w:val="24"/>
        </w:rPr>
        <w:tab/>
        <w:t xml:space="preserve">The </w:t>
      </w:r>
      <w:proofErr w:type="spellStart"/>
      <w:r w:rsidRPr="002F02FE">
        <w:rPr>
          <w:szCs w:val="24"/>
        </w:rPr>
        <w:t>plantiffs</w:t>
      </w:r>
      <w:proofErr w:type="spellEnd"/>
      <w:r w:rsidRPr="002F02FE">
        <w:rPr>
          <w:szCs w:val="24"/>
        </w:rPr>
        <w:t xml:space="preserve"> in both cases contended that the plans violated the First Amendment by retaliating against candidates on the basis of their political beliefs and that the plans usurped the right of the people to elect their preferred candidates for Congress, thereby violating the requirement in Article I, Section 2 of the Constitution that House members be selected “by the People of the several States.” They also alleged that the plans transgressed the Elections Clause of Article I, Section 4 by exceeding the states’ delegated authority to prescribe the “Times, Places, and Manner of holding Elections” for members of Congress. The plaintiffs in the North Carolina case also alleged that the North Carolina plan violated the Equal Protection Clause of the Fourteenth Amendment by diluting the electoral strength of Democratic voters. </w:t>
      </w:r>
      <w:proofErr w:type="gramStart"/>
      <w:r w:rsidRPr="002F02FE">
        <w:rPr>
          <w:szCs w:val="24"/>
        </w:rPr>
        <w:t>In particular, the</w:t>
      </w:r>
      <w:proofErr w:type="gramEnd"/>
      <w:r w:rsidRPr="002F02FE">
        <w:rPr>
          <w:szCs w:val="24"/>
        </w:rPr>
        <w:t xml:space="preserve"> plaintiffs contended that the dominant parties had unconstitutionally “packed” opposition </w:t>
      </w:r>
      <w:r w:rsidRPr="002F02FE">
        <w:rPr>
          <w:szCs w:val="24"/>
        </w:rPr>
        <w:lastRenderedPageBreak/>
        <w:t xml:space="preserve">voters into a small number of districts in order to dilute their strength in other districts and had unconstitutionally “cracked” such opponents by dividing them among multiple districts.  </w:t>
      </w:r>
    </w:p>
    <w:p w14:paraId="2E77A94C" w14:textId="3C4669DE" w:rsidR="007B45D7" w:rsidRPr="002F02FE" w:rsidRDefault="007B45D7" w:rsidP="007B45D7">
      <w:pPr>
        <w:rPr>
          <w:szCs w:val="24"/>
        </w:rPr>
      </w:pPr>
      <w:r w:rsidRPr="002F02FE">
        <w:rPr>
          <w:szCs w:val="24"/>
        </w:rPr>
        <w:tab/>
        <w:t xml:space="preserve">In an opinion delivered by Chief Justice Roberts, the Court </w:t>
      </w:r>
      <w:r w:rsidR="00D669B7" w:rsidRPr="00C40F80">
        <w:rPr>
          <w:szCs w:val="24"/>
        </w:rPr>
        <w:t>asserted</w:t>
      </w:r>
      <w:r w:rsidRPr="002F02FE">
        <w:rPr>
          <w:szCs w:val="24"/>
        </w:rPr>
        <w:t xml:space="preserve"> that “[p]artisan gerrymandering claims invariably sound in a desire for proportional representation.” The Court explained, however, that the “Founders certainly did not think proportional representation was required” and that legislatures had been gerrymandered throughout the history of the Republic. The Court pointed out that many states elected representatives at large and sent single-party delegations to Congress until the enactment of federal legislation in 1842 that required single-member districts. The Court contended that the plaintiffs had resorted to fairness arguments because the Constitution does not require proportional representation, but that “federal courts are not equipped to apportion political power as a matter of fairness, nor is there any basis for concluding that they were authorized to do so.” </w:t>
      </w:r>
    </w:p>
    <w:p w14:paraId="73D5F3ED" w14:textId="77777777" w:rsidR="007B45D7" w:rsidRPr="002F02FE" w:rsidRDefault="007B45D7" w:rsidP="007B45D7">
      <w:pPr>
        <w:ind w:firstLine="720"/>
        <w:rPr>
          <w:szCs w:val="24"/>
        </w:rPr>
      </w:pPr>
      <w:r w:rsidRPr="002F02FE">
        <w:rPr>
          <w:szCs w:val="24"/>
        </w:rPr>
        <w:t>The Court observed that “it is not even clear what fairness looks like in this context.” Although the Court explained that the creation of a greater number of competitive districts by undoing cracking and packing might benefit the disadvantaged party, such party might not be able to elect any representatives if all districts became competitive. The Court likewise explained that various other criteria for districting, such as contiguity and compactness, might create inequities of their own. Moreover, the Court remarked that “it is only after determining how to define fairness that you can even begin to answer the determinative question: ‘How much is too much?’ At what point does permissible partisanship become unconstitutional?”</w:t>
      </w:r>
    </w:p>
    <w:p w14:paraId="62574A71" w14:textId="77777777" w:rsidR="007B45D7" w:rsidRPr="002F02FE" w:rsidRDefault="007B45D7" w:rsidP="007B45D7">
      <w:pPr>
        <w:ind w:firstLine="720"/>
        <w:rPr>
          <w:szCs w:val="24"/>
        </w:rPr>
      </w:pPr>
      <w:r w:rsidRPr="002F02FE">
        <w:rPr>
          <w:szCs w:val="24"/>
        </w:rPr>
        <w:t xml:space="preserve">The Court distinguished its “one-person, one-vote” cases on the ground that “the one-person, one-vote rule is relatively easy to administer as a matter of math.” Moreover, the requirement of equal voting power in those cases, the Court explained, “does not extend to political parties. It does not mean that each party must be influential in proportion to its number of supporters.” The Court likewise distinguished its racial gerrymandering cases </w:t>
      </w:r>
      <w:proofErr w:type="gramStart"/>
      <w:r w:rsidRPr="002F02FE">
        <w:rPr>
          <w:szCs w:val="24"/>
        </w:rPr>
        <w:t>on the ground that</w:t>
      </w:r>
      <w:proofErr w:type="gramEnd"/>
      <w:r w:rsidRPr="002F02FE">
        <w:rPr>
          <w:szCs w:val="24"/>
        </w:rPr>
        <w:t xml:space="preserve"> “a racial gerrymandering claim does not ask for a fair share of political power and influence, with all the justiciability conundrums that entails. It asks instead for the elimination of a racial classification. A partisan gerrymandering claim cannot ask for the elimination of partisanship.” </w:t>
      </w:r>
    </w:p>
    <w:p w14:paraId="40E12739" w14:textId="77777777" w:rsidR="007B45D7" w:rsidRPr="002F02FE" w:rsidRDefault="007B45D7" w:rsidP="007B45D7">
      <w:pPr>
        <w:rPr>
          <w:szCs w:val="24"/>
        </w:rPr>
      </w:pPr>
      <w:r w:rsidRPr="002F02FE">
        <w:rPr>
          <w:szCs w:val="24"/>
        </w:rPr>
        <w:tab/>
        <w:t xml:space="preserve">Similarly, the Court distinguished various other kinds of cases, particularly in antitrust law, in which courts have drawn lines involving “matters of degree.” The Court explained that “those instances typically involve constitutional or statutory provisions or common law confining and guiding the exercise of judicial discretion.” </w:t>
      </w:r>
    </w:p>
    <w:p w14:paraId="6052168D" w14:textId="77777777" w:rsidR="007B45D7" w:rsidRPr="002F02FE" w:rsidRDefault="007B45D7" w:rsidP="007B45D7">
      <w:pPr>
        <w:ind w:firstLine="720"/>
        <w:rPr>
          <w:szCs w:val="24"/>
        </w:rPr>
      </w:pPr>
      <w:r w:rsidRPr="002F02FE">
        <w:rPr>
          <w:szCs w:val="24"/>
        </w:rPr>
        <w:t>Acknowledging that “[e]</w:t>
      </w:r>
      <w:proofErr w:type="spellStart"/>
      <w:r w:rsidRPr="002F02FE">
        <w:rPr>
          <w:szCs w:val="24"/>
        </w:rPr>
        <w:t>xcessive</w:t>
      </w:r>
      <w:proofErr w:type="spellEnd"/>
      <w:r w:rsidRPr="002F02FE">
        <w:rPr>
          <w:szCs w:val="24"/>
        </w:rPr>
        <w:t xml:space="preserve"> partisanship in districting leads to results that reasonably seem unjust” and are “incompatible with democratic principles,” quoting </w:t>
      </w:r>
      <w:r w:rsidRPr="002F02FE">
        <w:rPr>
          <w:i/>
          <w:szCs w:val="24"/>
        </w:rPr>
        <w:t>Arizona State Legislature</w:t>
      </w:r>
      <w:r w:rsidRPr="002F02FE">
        <w:rPr>
          <w:szCs w:val="24"/>
        </w:rPr>
        <w:t xml:space="preserve"> </w:t>
      </w:r>
      <w:r w:rsidRPr="002F02FE">
        <w:rPr>
          <w:i/>
          <w:szCs w:val="24"/>
        </w:rPr>
        <w:t>v. Arizona Independent Redistricting Commission</w:t>
      </w:r>
      <w:r w:rsidRPr="002F02FE">
        <w:rPr>
          <w:szCs w:val="24"/>
        </w:rPr>
        <w:t xml:space="preserve"> (2012), the Court emphasized that Congress, state legislatures, or state courts might provide remedies even though the political question doctrine tied the hands of the federal judiciary. The Court pointed out that </w:t>
      </w:r>
      <w:r w:rsidRPr="002F02FE">
        <w:rPr>
          <w:szCs w:val="24"/>
        </w:rPr>
        <w:lastRenderedPageBreak/>
        <w:t xml:space="preserve">some state legislatures already had restricted partisan gerrymandering and that dozens of bills were pending in Congress to do the same. </w:t>
      </w:r>
    </w:p>
    <w:p w14:paraId="26FBA53E" w14:textId="77777777" w:rsidR="007B45D7" w:rsidRPr="002F02FE" w:rsidRDefault="007B45D7" w:rsidP="007B45D7">
      <w:pPr>
        <w:ind w:firstLine="720"/>
        <w:rPr>
          <w:szCs w:val="24"/>
        </w:rPr>
      </w:pPr>
      <w:r w:rsidRPr="002F02FE">
        <w:rPr>
          <w:szCs w:val="24"/>
        </w:rPr>
        <w:t xml:space="preserve">In a dissent joined by Justices Ginsburg, Breyer, and Sotomayor, Justice Kagan argued that the political question doctrine did not preclude adjudication of political gerrymandering cases because lower courts already had “coalesced around manageable judicial standards” that limited “courts to correcting only egregious gerrymanders, so judges do not become omnipresent players in the political process.” </w:t>
      </w:r>
    </w:p>
    <w:p w14:paraId="3ABB2445" w14:textId="77777777" w:rsidR="007B45D7" w:rsidRPr="002F02FE" w:rsidRDefault="007B45D7" w:rsidP="007B45D7">
      <w:pPr>
        <w:ind w:firstLine="720"/>
        <w:rPr>
          <w:szCs w:val="24"/>
        </w:rPr>
      </w:pPr>
      <w:r w:rsidRPr="002F02FE">
        <w:rPr>
          <w:szCs w:val="24"/>
        </w:rPr>
        <w:t xml:space="preserve">She explained that these courts had developed a three-part test that requires plaintiffs to prove that partisan advantage was the “predominant purpose” in devising a districting plan; that the district lines “substantially’ dilute votes, and that the state must develop a “legitimate, non-partisan justification to save its map.” Rejecting the majority’s contention that these findings were mere “prognostications,” Kagan countered that “the courts below did not gaze into crystal balls…Their findings... were evidence-based, data-based, statistics-based…The courts did what anyone would anyone would want a decisionmaker to do when so much hangs in the balance. They looked hard at the facts, and they went where the facts led them.” Kagan contended that the district courts therefore “did not have to – and in fact did not – choose among competing visions of electoral fairness… because they did not try to compare the State’s actual map to an ‘ideally fair’ one…Instead, they looked at the difference between what the State did and what the State would have done if politicians hadn’t been intent on partisan gain.” </w:t>
      </w:r>
    </w:p>
    <w:p w14:paraId="0353EB95" w14:textId="0E01DEE8" w:rsidR="007B45D7" w:rsidRPr="002F02FE" w:rsidRDefault="007B45D7" w:rsidP="007B45D7">
      <w:pPr>
        <w:ind w:firstLine="720"/>
        <w:rPr>
          <w:szCs w:val="24"/>
        </w:rPr>
      </w:pPr>
      <w:r w:rsidRPr="002F02FE">
        <w:rPr>
          <w:szCs w:val="24"/>
        </w:rPr>
        <w:t>As an example of how a court could identify a district that was so heavily gerrymandered that it crossed a constitutional line, Kagan pointed to North Carolina’s plan, which produced a greater chance of electing at least one more Republican House member than any of three thousand randomly generated maps that were prepared by an expert witness</w:t>
      </w:r>
      <w:r w:rsidR="00CB392F">
        <w:rPr>
          <w:szCs w:val="24"/>
        </w:rPr>
        <w:t>;  77% of the random maps would have elected three or four more [Democrats].”  Three more would have been a congressional delegation of seven Republicans and six Democratic and four more would have produced a delegation of seven Democrats and six Republicans</w:t>
      </w:r>
      <w:r w:rsidRPr="002F02FE">
        <w:rPr>
          <w:szCs w:val="24"/>
        </w:rPr>
        <w:t xml:space="preserve">. </w:t>
      </w:r>
    </w:p>
    <w:p w14:paraId="0FD15F6B" w14:textId="77777777" w:rsidR="007B45D7" w:rsidRPr="002F02FE" w:rsidRDefault="007B45D7" w:rsidP="007B45D7">
      <w:pPr>
        <w:ind w:firstLine="720"/>
        <w:rPr>
          <w:szCs w:val="24"/>
        </w:rPr>
      </w:pPr>
      <w:r w:rsidRPr="002F02FE">
        <w:rPr>
          <w:szCs w:val="24"/>
        </w:rPr>
        <w:t xml:space="preserve">Addressing the merits of the cases, Kagan contended that political gerrymandering violated equal protection, free speech, and the right of association. She complained that political gerrymandering is “anti-democratic in the most profound sense” and that the partisan gerrymanders in the cases before the Court “deprived citizens of the most fundamental of their constitutional rights: the rights to participate equally in the political process, to join with others to advance political beliefs, and to choose their political representatives.” She alleged that these districting plans “debased and dishonored our democracy, turning upside-down the core American idea that all governmental power derives from the people. These gerrymanders enabled politicians to entrench themselves in office as against voters’ preferences. They promoted partisanship above respect for the popular will. They encouraged a politics of polarization and dysfunction.” Kagan warned that such gerrymanders, if left unchecked, “may irreparably damage our system of government.” </w:t>
      </w:r>
    </w:p>
    <w:p w14:paraId="188BA469" w14:textId="77777777" w:rsidR="007B45D7" w:rsidRPr="002F02FE" w:rsidRDefault="007B45D7" w:rsidP="007B45D7">
      <w:pPr>
        <w:ind w:firstLine="720"/>
        <w:rPr>
          <w:szCs w:val="24"/>
        </w:rPr>
      </w:pPr>
      <w:r w:rsidRPr="002F02FE">
        <w:rPr>
          <w:szCs w:val="24"/>
        </w:rPr>
        <w:lastRenderedPageBreak/>
        <w:t xml:space="preserve">Kagan contended that the problem of gerrymandering had become particularly urgent because modern technologies enabled politicians to devise particularly precise and sophisticated districting plans that mathematically maximized the marginalization of opposition parties. Such gerrymanders, she warned insulate “politicians against all but the most titanic shifts in the political tides. These are not your grandfather’s – let alone the Framers’ – gerrymanders.” </w:t>
      </w:r>
    </w:p>
    <w:p w14:paraId="699BDA8C" w14:textId="77777777" w:rsidR="007B45D7" w:rsidRPr="002F02FE" w:rsidRDefault="007B45D7" w:rsidP="007B45D7">
      <w:pPr>
        <w:ind w:firstLine="720"/>
        <w:rPr>
          <w:szCs w:val="24"/>
        </w:rPr>
      </w:pPr>
      <w:r w:rsidRPr="002F02FE">
        <w:rPr>
          <w:szCs w:val="24"/>
        </w:rPr>
        <w:t xml:space="preserve">Kagan denied that adjudication of political gerrymandering cases would necessarily lead to proportional representation and she declared that “contrary to the majority’s suggestion…courts all the time make judgments about the substantiality of harm without reducing them to particular percentages. If courts are no longer competent to do so, they will have to relinquish…substantial portions of their docket.” </w:t>
      </w:r>
    </w:p>
    <w:p w14:paraId="22139AD5" w14:textId="77777777" w:rsidR="007B45D7" w:rsidRPr="002F02FE" w:rsidRDefault="007B45D7" w:rsidP="007B45D7">
      <w:pPr>
        <w:ind w:firstLine="720"/>
        <w:rPr>
          <w:szCs w:val="24"/>
        </w:rPr>
      </w:pPr>
      <w:r w:rsidRPr="002F02FE">
        <w:rPr>
          <w:szCs w:val="24"/>
        </w:rPr>
        <w:t xml:space="preserve">Kagan also challenged the Court’s contention that state legislators or Congress could provide relief. She explained “politicians who benefit from partisan gerrymandering are unlikely to change partisan gerrymandering. And because those politicians maintain themselves in office through partisan gerrymandering, the chances for legislative reform are slight.” She similarly disparaged the Court’s contention that state courts might provide relief, pointing out that they were no more competent than the Supreme Court to develop and apply “neutral and manageable standards to identify unconstitutional gerrymanders” that would avoid the political question obstacle upon which the Court had based its decision. </w:t>
      </w:r>
    </w:p>
    <w:p w14:paraId="1915CA41" w14:textId="77777777" w:rsidR="007B45D7" w:rsidRPr="00B96CAA" w:rsidRDefault="007B45D7" w:rsidP="007B45D7">
      <w:pPr>
        <w:rPr>
          <w:rFonts w:cs="Times New Roman"/>
          <w:szCs w:val="24"/>
        </w:rPr>
      </w:pPr>
    </w:p>
    <w:p w14:paraId="4D2119AA" w14:textId="77777777" w:rsidR="00675288" w:rsidRPr="00B96CAA" w:rsidRDefault="00675288" w:rsidP="00675288">
      <w:pPr>
        <w:spacing w:after="0" w:line="240" w:lineRule="auto"/>
        <w:rPr>
          <w:rFonts w:cs="Times New Roman"/>
          <w:szCs w:val="24"/>
        </w:rPr>
      </w:pPr>
      <w:r w:rsidRPr="00B96CAA">
        <w:rPr>
          <w:rFonts w:cs="Times New Roman"/>
          <w:szCs w:val="24"/>
        </w:rPr>
        <w:br w:type="page"/>
      </w:r>
    </w:p>
    <w:p w14:paraId="00F8206C" w14:textId="0F03D479" w:rsidR="007201FD" w:rsidRDefault="00675288" w:rsidP="00675288">
      <w:pPr>
        <w:pStyle w:val="Heading1"/>
        <w:rPr>
          <w:rFonts w:cs="Times New Roman"/>
          <w:szCs w:val="24"/>
        </w:rPr>
      </w:pPr>
      <w:bookmarkStart w:id="41" w:name="_Toc16886255"/>
      <w:r w:rsidRPr="00B96CAA">
        <w:rPr>
          <w:rFonts w:cs="Times New Roman"/>
          <w:szCs w:val="24"/>
        </w:rPr>
        <w:lastRenderedPageBreak/>
        <w:t>Chapter 11. Freedom of Speech and Press</w:t>
      </w:r>
      <w:bookmarkEnd w:id="41"/>
      <w:r w:rsidRPr="00B96CAA">
        <w:rPr>
          <w:rFonts w:cs="Times New Roman"/>
          <w:szCs w:val="24"/>
        </w:rPr>
        <w:t xml:space="preserve"> </w:t>
      </w:r>
    </w:p>
    <w:p w14:paraId="22CB83D1" w14:textId="77777777" w:rsidR="006C5B69" w:rsidRDefault="006C5B69" w:rsidP="006C5B69">
      <w:pPr>
        <w:autoSpaceDE w:val="0"/>
        <w:autoSpaceDN w:val="0"/>
        <w:adjustRightInd w:val="0"/>
        <w:rPr>
          <w:rFonts w:cs="Times New Roman"/>
          <w:b/>
          <w:szCs w:val="24"/>
        </w:rPr>
      </w:pPr>
      <w:bookmarkStart w:id="42" w:name="_Hlk16447200"/>
    </w:p>
    <w:p w14:paraId="09F20CAC" w14:textId="6F54C9B8" w:rsidR="006C5B69" w:rsidRPr="006E1976" w:rsidRDefault="006C5B69" w:rsidP="000234D3">
      <w:pPr>
        <w:pStyle w:val="Heading2"/>
      </w:pPr>
      <w:bookmarkStart w:id="43" w:name="_Toc16886256"/>
      <w:r w:rsidRPr="006E1976">
        <w:t>Part II, Section XI, Indecent Speech.</w:t>
      </w:r>
      <w:bookmarkEnd w:id="43"/>
    </w:p>
    <w:p w14:paraId="26285799" w14:textId="77777777" w:rsidR="006C5B69" w:rsidRDefault="006C5B69" w:rsidP="006C5B69">
      <w:pPr>
        <w:autoSpaceDE w:val="0"/>
        <w:autoSpaceDN w:val="0"/>
        <w:adjustRightInd w:val="0"/>
        <w:rPr>
          <w:rFonts w:cs="Times New Roman"/>
          <w:szCs w:val="24"/>
        </w:rPr>
      </w:pPr>
      <w:r>
        <w:rPr>
          <w:rFonts w:cs="Times New Roman"/>
          <w:szCs w:val="24"/>
        </w:rPr>
        <w:t>[</w:t>
      </w:r>
      <w:r w:rsidRPr="0042724A">
        <w:rPr>
          <w:rFonts w:cs="Times New Roman"/>
          <w:i/>
          <w:szCs w:val="24"/>
        </w:rPr>
        <w:t xml:space="preserve">Insert on Page 1259, at end of </w:t>
      </w:r>
      <w:r w:rsidRPr="0042724A">
        <w:rPr>
          <w:rFonts w:cs="Times New Roman"/>
          <w:bCs/>
          <w:szCs w:val="24"/>
        </w:rPr>
        <w:t>City of Los Angeles v. Alameda Books, Inc.</w:t>
      </w:r>
      <w:r w:rsidRPr="0042724A">
        <w:rPr>
          <w:rFonts w:cs="Times New Roman"/>
          <w:i/>
          <w:szCs w:val="24"/>
        </w:rPr>
        <w:t>, before Section XII, Fighting Words</w:t>
      </w:r>
      <w:r w:rsidRPr="006E1976">
        <w:rPr>
          <w:rFonts w:cs="Times New Roman"/>
          <w:szCs w:val="24"/>
        </w:rPr>
        <w:t>.</w:t>
      </w:r>
      <w:r>
        <w:rPr>
          <w:rFonts w:cs="Times New Roman"/>
          <w:szCs w:val="24"/>
        </w:rPr>
        <w:t>]</w:t>
      </w:r>
    </w:p>
    <w:p w14:paraId="6BBECFBA" w14:textId="77777777" w:rsidR="006C5B69" w:rsidRPr="00E87BD0" w:rsidRDefault="006C5B69" w:rsidP="0042724A">
      <w:pPr>
        <w:pStyle w:val="Heading3"/>
        <w:jc w:val="center"/>
      </w:pPr>
      <w:r w:rsidRPr="00E87BD0">
        <w:rPr>
          <w:lang w:val="en-CA"/>
        </w:rPr>
        <w:fldChar w:fldCharType="begin"/>
      </w:r>
      <w:r w:rsidRPr="00E87BD0">
        <w:rPr>
          <w:lang w:val="en-CA"/>
        </w:rPr>
        <w:instrText xml:space="preserve"> SEQ CHAPTER \h \r 1</w:instrText>
      </w:r>
      <w:r w:rsidRPr="00E87BD0">
        <w:rPr>
          <w:lang w:val="en-CA"/>
        </w:rPr>
        <w:fldChar w:fldCharType="end"/>
      </w:r>
      <w:bookmarkStart w:id="44" w:name="_Toc16886257"/>
      <w:r w:rsidRPr="00E87BD0">
        <w:t xml:space="preserve">Note: </w:t>
      </w:r>
      <w:proofErr w:type="spellStart"/>
      <w:r w:rsidRPr="00F062EA">
        <w:rPr>
          <w:i/>
        </w:rPr>
        <w:t>Iancu</w:t>
      </w:r>
      <w:proofErr w:type="spellEnd"/>
      <w:r w:rsidRPr="00F062EA">
        <w:rPr>
          <w:i/>
        </w:rPr>
        <w:t xml:space="preserve"> v. Brunetti</w:t>
      </w:r>
      <w:r w:rsidRPr="00E87BD0">
        <w:t xml:space="preserve"> (2019)</w:t>
      </w:r>
      <w:bookmarkEnd w:id="44"/>
    </w:p>
    <w:p w14:paraId="6EA4F702"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 xml:space="preserve">Erik Brunetti, described by the Court as an “artist and entrepreneur,” founded a clothing line that uses the trademark </w:t>
      </w:r>
      <w:r>
        <w:rPr>
          <w:rFonts w:cs="Times New Roman"/>
          <w:szCs w:val="24"/>
        </w:rPr>
        <w:t>“</w:t>
      </w:r>
      <w:r w:rsidRPr="000D3E11">
        <w:rPr>
          <w:rFonts w:cs="Times New Roman"/>
          <w:szCs w:val="24"/>
        </w:rPr>
        <w:t>FUCT</w:t>
      </w:r>
      <w:r w:rsidRPr="00E87BD0">
        <w:rPr>
          <w:rFonts w:cs="Times New Roman"/>
          <w:szCs w:val="24"/>
        </w:rPr>
        <w:t>.</w:t>
      </w:r>
      <w:r>
        <w:rPr>
          <w:rFonts w:cs="Times New Roman"/>
          <w:szCs w:val="24"/>
        </w:rPr>
        <w:t>”</w:t>
      </w:r>
      <w:r w:rsidRPr="00E87BD0">
        <w:rPr>
          <w:rFonts w:cs="Times New Roman"/>
          <w:szCs w:val="24"/>
        </w:rPr>
        <w:t xml:space="preserve"> The Patent and Trademark Office (PTO), by statute, administers a federal registration system for trademarks. Brunetti sought t</w:t>
      </w:r>
      <w:r>
        <w:rPr>
          <w:rFonts w:cs="Times New Roman"/>
          <w:szCs w:val="24"/>
        </w:rPr>
        <w:t>o</w:t>
      </w:r>
      <w:r w:rsidRPr="00E87BD0">
        <w:rPr>
          <w:rFonts w:cs="Times New Roman"/>
          <w:szCs w:val="24"/>
        </w:rPr>
        <w:t xml:space="preserve"> register </w:t>
      </w:r>
      <w:r>
        <w:rPr>
          <w:rFonts w:cs="Times New Roman"/>
          <w:szCs w:val="24"/>
        </w:rPr>
        <w:t>“</w:t>
      </w:r>
      <w:r w:rsidRPr="000D3E11">
        <w:rPr>
          <w:rFonts w:cs="Times New Roman"/>
          <w:szCs w:val="24"/>
        </w:rPr>
        <w:t>FUCT</w:t>
      </w:r>
      <w:r>
        <w:rPr>
          <w:rFonts w:cs="Times New Roman"/>
          <w:szCs w:val="24"/>
        </w:rPr>
        <w:t>”</w:t>
      </w:r>
      <w:r w:rsidRPr="00E87BD0">
        <w:rPr>
          <w:rFonts w:cs="Times New Roman"/>
          <w:szCs w:val="24"/>
        </w:rPr>
        <w:t xml:space="preserve"> for his clothing line with the PTO. He was denied registration because the Act instructs the PTO to refuse registration to certain marks, including those that “[c]</w:t>
      </w:r>
      <w:proofErr w:type="spellStart"/>
      <w:r w:rsidRPr="00E87BD0">
        <w:rPr>
          <w:rFonts w:cs="Times New Roman"/>
          <w:szCs w:val="24"/>
        </w:rPr>
        <w:t>onsist</w:t>
      </w:r>
      <w:proofErr w:type="spellEnd"/>
      <w:r w:rsidRPr="00E87BD0">
        <w:rPr>
          <w:rFonts w:cs="Times New Roman"/>
          <w:szCs w:val="24"/>
        </w:rPr>
        <w:t xml:space="preserve"> of or </w:t>
      </w:r>
      <w:proofErr w:type="gramStart"/>
      <w:r w:rsidRPr="00E87BD0">
        <w:rPr>
          <w:rFonts w:cs="Times New Roman"/>
          <w:szCs w:val="24"/>
        </w:rPr>
        <w:t>comprise[</w:t>
      </w:r>
      <w:proofErr w:type="gramEnd"/>
      <w:r w:rsidRPr="00E87BD0">
        <w:rPr>
          <w:rFonts w:cs="Times New Roman"/>
          <w:szCs w:val="24"/>
        </w:rPr>
        <w:t>] immoral[] or scandalous matter.” 15 USC s</w:t>
      </w:r>
      <w:r>
        <w:rPr>
          <w:rFonts w:cs="Times New Roman"/>
          <w:szCs w:val="24"/>
        </w:rPr>
        <w:t>.</w:t>
      </w:r>
      <w:r w:rsidRPr="00E87BD0">
        <w:rPr>
          <w:rFonts w:cs="Times New Roman"/>
          <w:szCs w:val="24"/>
        </w:rPr>
        <w:t>1052(a). Owners of trademarks are not required to register them, but registration carries with it significant additional advantages</w:t>
      </w:r>
      <w:r>
        <w:rPr>
          <w:rFonts w:cs="Times New Roman"/>
          <w:szCs w:val="24"/>
        </w:rPr>
        <w:t>,</w:t>
      </w:r>
      <w:r w:rsidRPr="00E87BD0">
        <w:rPr>
          <w:rFonts w:cs="Times New Roman"/>
          <w:szCs w:val="24"/>
        </w:rPr>
        <w:t xml:space="preserve"> including prima facie evidence of the validity of the mark and “constructive notice of the registrant’s claim of ownership.”  </w:t>
      </w:r>
    </w:p>
    <w:p w14:paraId="49A4F439"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Brunetti sued</w:t>
      </w:r>
      <w:r>
        <w:rPr>
          <w:rFonts w:cs="Times New Roman"/>
          <w:szCs w:val="24"/>
        </w:rPr>
        <w:t xml:space="preserve"> </w:t>
      </w:r>
      <w:r w:rsidRPr="00E87BD0">
        <w:rPr>
          <w:rFonts w:cs="Times New Roman"/>
          <w:szCs w:val="24"/>
        </w:rPr>
        <w:t>the director of the patent office</w:t>
      </w:r>
      <w:r>
        <w:rPr>
          <w:rFonts w:cs="Times New Roman"/>
          <w:szCs w:val="24"/>
        </w:rPr>
        <w:t>,</w:t>
      </w:r>
      <w:r w:rsidRPr="00E87BD0">
        <w:rPr>
          <w:rFonts w:cs="Times New Roman"/>
          <w:szCs w:val="24"/>
        </w:rPr>
        <w:t xml:space="preserve"> lost in the Federal Circuit, and petitioned for certiorari. Brunetti’s challenge had been facial, claiming the statute was unconstitutional on its face because the key terms were unconstitutionally overbroad—covering too much protected speech. The Supreme Court of the United States explained, perhaps apologetically: “As usual when a lower court has invalidated a federal statute, we granted certiorari.”</w:t>
      </w:r>
    </w:p>
    <w:p w14:paraId="583A0925"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 xml:space="preserve">Two terms before, in </w:t>
      </w:r>
      <w:proofErr w:type="spellStart"/>
      <w:r w:rsidRPr="00E87BD0">
        <w:rPr>
          <w:rFonts w:cs="Times New Roman"/>
          <w:i/>
          <w:iCs/>
          <w:szCs w:val="24"/>
        </w:rPr>
        <w:t>Matal</w:t>
      </w:r>
      <w:proofErr w:type="spellEnd"/>
      <w:r w:rsidRPr="00E87BD0">
        <w:rPr>
          <w:rFonts w:cs="Times New Roman"/>
          <w:i/>
          <w:iCs/>
          <w:szCs w:val="24"/>
        </w:rPr>
        <w:t xml:space="preserve"> </w:t>
      </w:r>
      <w:r w:rsidRPr="00E87BD0">
        <w:rPr>
          <w:rFonts w:cs="Times New Roman"/>
          <w:szCs w:val="24"/>
        </w:rPr>
        <w:t xml:space="preserve">v. </w:t>
      </w:r>
      <w:r w:rsidRPr="00E87BD0">
        <w:rPr>
          <w:rFonts w:cs="Times New Roman"/>
          <w:i/>
          <w:iCs/>
          <w:szCs w:val="24"/>
        </w:rPr>
        <w:t>Tam</w:t>
      </w:r>
      <w:r>
        <w:rPr>
          <w:rFonts w:cs="Times New Roman"/>
          <w:i/>
          <w:iCs/>
          <w:szCs w:val="24"/>
        </w:rPr>
        <w:t>,</w:t>
      </w:r>
      <w:r w:rsidRPr="00E87BD0">
        <w:rPr>
          <w:rFonts w:cs="Times New Roman"/>
          <w:szCs w:val="24"/>
        </w:rPr>
        <w:t xml:space="preserve"> the Court had considered another PTO ban under a related statute. In </w:t>
      </w:r>
      <w:r w:rsidRPr="00E87BD0">
        <w:rPr>
          <w:rFonts w:cs="Times New Roman"/>
          <w:i/>
          <w:iCs/>
          <w:szCs w:val="24"/>
        </w:rPr>
        <w:t>Tam</w:t>
      </w:r>
      <w:r>
        <w:rPr>
          <w:rFonts w:cs="Times New Roman"/>
          <w:iCs/>
          <w:szCs w:val="24"/>
        </w:rPr>
        <w:t xml:space="preserve">, the Court struck down a </w:t>
      </w:r>
      <w:r w:rsidRPr="00E87BD0">
        <w:rPr>
          <w:rFonts w:cs="Times New Roman"/>
          <w:szCs w:val="24"/>
        </w:rPr>
        <w:t>PTO ban</w:t>
      </w:r>
      <w:r>
        <w:rPr>
          <w:rFonts w:cs="Times New Roman"/>
          <w:szCs w:val="24"/>
        </w:rPr>
        <w:t xml:space="preserve"> on</w:t>
      </w:r>
      <w:r w:rsidRPr="00E87BD0">
        <w:rPr>
          <w:rFonts w:cs="Times New Roman"/>
          <w:szCs w:val="24"/>
        </w:rPr>
        <w:t xml:space="preserve"> marks that “‘disparage any </w:t>
      </w:r>
      <w:proofErr w:type="gramStart"/>
      <w:r w:rsidRPr="00E87BD0">
        <w:rPr>
          <w:rFonts w:cs="Times New Roman"/>
          <w:szCs w:val="24"/>
        </w:rPr>
        <w:t>person[</w:t>
      </w:r>
      <w:proofErr w:type="gramEnd"/>
      <w:r w:rsidRPr="00E87BD0">
        <w:rPr>
          <w:rFonts w:cs="Times New Roman"/>
          <w:szCs w:val="24"/>
        </w:rPr>
        <w:t>], living or dead.’” The Court divided 4 to 4. The eight Justices disagreed on whether the ban was a</w:t>
      </w:r>
      <w:r>
        <w:rPr>
          <w:rFonts w:cs="Times New Roman"/>
          <w:szCs w:val="24"/>
        </w:rPr>
        <w:t>n unconstitutional</w:t>
      </w:r>
      <w:r w:rsidRPr="00E87BD0">
        <w:rPr>
          <w:rFonts w:cs="Times New Roman"/>
          <w:szCs w:val="24"/>
        </w:rPr>
        <w:t xml:space="preserve"> condition on a government benefit or a simple government restriction on speech. But they agreed on a core postulate of free speech law</w:t>
      </w:r>
      <w:r>
        <w:rPr>
          <w:rFonts w:cs="Times New Roman"/>
          <w:szCs w:val="24"/>
        </w:rPr>
        <w:t>,</w:t>
      </w:r>
      <w:r w:rsidRPr="00E87BD0">
        <w:rPr>
          <w:rFonts w:cs="Times New Roman"/>
          <w:szCs w:val="24"/>
        </w:rPr>
        <w:t xml:space="preserve"> which in turn the Court also applied to the FUCT </w:t>
      </w:r>
      <w:r>
        <w:rPr>
          <w:rFonts w:cs="Times New Roman"/>
          <w:szCs w:val="24"/>
        </w:rPr>
        <w:t>denial</w:t>
      </w:r>
      <w:r w:rsidRPr="00E87BD0">
        <w:rPr>
          <w:rFonts w:cs="Times New Roman"/>
          <w:szCs w:val="24"/>
        </w:rPr>
        <w:t xml:space="preserve">: “The government may not discriminate against speech based on the ideas or opinions it conveys. See </w:t>
      </w:r>
      <w:proofErr w:type="spellStart"/>
      <w:r w:rsidRPr="00E87BD0">
        <w:rPr>
          <w:rFonts w:cs="Times New Roman"/>
          <w:i/>
          <w:iCs/>
          <w:szCs w:val="24"/>
        </w:rPr>
        <w:t>Rosenbeger</w:t>
      </w:r>
      <w:proofErr w:type="spellEnd"/>
      <w:r w:rsidRPr="00E87BD0">
        <w:rPr>
          <w:rFonts w:cs="Times New Roman"/>
          <w:i/>
          <w:iCs/>
          <w:szCs w:val="24"/>
        </w:rPr>
        <w:t xml:space="preserve"> </w:t>
      </w:r>
      <w:r w:rsidRPr="00E87BD0">
        <w:rPr>
          <w:rFonts w:cs="Times New Roman"/>
          <w:szCs w:val="24"/>
        </w:rPr>
        <w:t xml:space="preserve">v. </w:t>
      </w:r>
      <w:r w:rsidRPr="00E87BD0">
        <w:rPr>
          <w:rFonts w:cs="Times New Roman"/>
          <w:i/>
          <w:iCs/>
          <w:szCs w:val="24"/>
        </w:rPr>
        <w:t xml:space="preserve">Rector and Visitors of Univ. of </w:t>
      </w:r>
      <w:proofErr w:type="spellStart"/>
      <w:r w:rsidRPr="00E87BD0">
        <w:rPr>
          <w:rFonts w:cs="Times New Roman"/>
          <w:i/>
          <w:iCs/>
          <w:szCs w:val="24"/>
        </w:rPr>
        <w:t>Va</w:t>
      </w:r>
      <w:proofErr w:type="spellEnd"/>
      <w:r w:rsidRPr="00E87BD0">
        <w:rPr>
          <w:rFonts w:cs="Times New Roman"/>
          <w:i/>
          <w:iCs/>
          <w:szCs w:val="24"/>
        </w:rPr>
        <w:t xml:space="preserve"> </w:t>
      </w:r>
      <w:r w:rsidRPr="00E87BD0">
        <w:rPr>
          <w:rFonts w:cs="Times New Roman"/>
          <w:szCs w:val="24"/>
        </w:rPr>
        <w:t xml:space="preserve">(1995) (explaining that viewpoint discrimination is an “egregious form of content discrimination” and is “presumptively unconstitutional”). So, whatever the appropriate category, in the </w:t>
      </w:r>
      <w:proofErr w:type="spellStart"/>
      <w:r w:rsidRPr="00E87BD0">
        <w:rPr>
          <w:rFonts w:cs="Times New Roman"/>
          <w:i/>
          <w:iCs/>
          <w:szCs w:val="24"/>
        </w:rPr>
        <w:t>Matal</w:t>
      </w:r>
      <w:proofErr w:type="spellEnd"/>
      <w:r w:rsidRPr="00E87BD0">
        <w:rPr>
          <w:rFonts w:cs="Times New Roman"/>
          <w:i/>
          <w:iCs/>
          <w:szCs w:val="24"/>
        </w:rPr>
        <w:t xml:space="preserve"> </w:t>
      </w:r>
      <w:r w:rsidRPr="00E87BD0">
        <w:rPr>
          <w:rFonts w:cs="Times New Roman"/>
          <w:szCs w:val="24"/>
        </w:rPr>
        <w:t xml:space="preserve">v. </w:t>
      </w:r>
      <w:r w:rsidRPr="00E87BD0">
        <w:rPr>
          <w:rFonts w:cs="Times New Roman"/>
          <w:i/>
          <w:iCs/>
          <w:szCs w:val="24"/>
        </w:rPr>
        <w:t xml:space="preserve">Tam </w:t>
      </w:r>
      <w:r w:rsidRPr="00E87BD0">
        <w:rPr>
          <w:rFonts w:cs="Times New Roman"/>
          <w:szCs w:val="24"/>
        </w:rPr>
        <w:t xml:space="preserve">“disparagement” case or the new FUCT case, all the Justices agreed that the ban was an impermissible case of viewpoint discrimination and so was unconstitutional. “First, if a trademark registration bar is viewpoint-based, it is unconstitutional. … And second, the disparagement bar was viewpoint-based.” </w:t>
      </w:r>
    </w:p>
    <w:p w14:paraId="457DB37F"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 xml:space="preserve">Following these rules and applying them to the FUCT case, </w:t>
      </w:r>
      <w:r>
        <w:rPr>
          <w:rFonts w:cs="Times New Roman"/>
          <w:szCs w:val="24"/>
        </w:rPr>
        <w:t>t</w:t>
      </w:r>
      <w:r w:rsidRPr="00E87BD0">
        <w:rPr>
          <w:rFonts w:cs="Times New Roman"/>
          <w:szCs w:val="24"/>
        </w:rPr>
        <w:t xml:space="preserve">he Court </w:t>
      </w:r>
      <w:r>
        <w:rPr>
          <w:rFonts w:cs="Times New Roman"/>
          <w:szCs w:val="24"/>
        </w:rPr>
        <w:t xml:space="preserve">found </w:t>
      </w:r>
      <w:r w:rsidRPr="00E87BD0">
        <w:rPr>
          <w:rFonts w:cs="Times New Roman"/>
          <w:szCs w:val="24"/>
        </w:rPr>
        <w:t xml:space="preserve">the ban on immoral or scandalous expression was viewpoint based and unconstitutional. </w:t>
      </w:r>
      <w:r>
        <w:rPr>
          <w:rFonts w:cs="Times New Roman"/>
          <w:szCs w:val="24"/>
        </w:rPr>
        <w:t xml:space="preserve">Justice Kagan, joined by </w:t>
      </w:r>
      <w:r w:rsidRPr="000D648D">
        <w:rPr>
          <w:rFonts w:cs="Times New Roman"/>
          <w:color w:val="000000"/>
          <w:shd w:val="clear" w:color="auto" w:fill="FFFFFF"/>
        </w:rPr>
        <w:t xml:space="preserve">Thomas, Ginsburg, Alito, Gorsuch and Kavanaugh, JJ., </w:t>
      </w:r>
      <w:r w:rsidRPr="00E87BD0">
        <w:rPr>
          <w:rFonts w:cs="Times New Roman"/>
          <w:szCs w:val="24"/>
        </w:rPr>
        <w:t xml:space="preserve">noted: </w:t>
      </w:r>
    </w:p>
    <w:p w14:paraId="025BEDED" w14:textId="77777777" w:rsidR="006C5B69" w:rsidRPr="00E87BD0" w:rsidRDefault="006C5B69" w:rsidP="006C5B69">
      <w:pPr>
        <w:autoSpaceDE w:val="0"/>
        <w:autoSpaceDN w:val="0"/>
        <w:adjustRightInd w:val="0"/>
        <w:ind w:left="720"/>
        <w:rPr>
          <w:rFonts w:cs="Times New Roman"/>
          <w:szCs w:val="24"/>
        </w:rPr>
      </w:pPr>
      <w:r w:rsidRPr="00E87BD0">
        <w:rPr>
          <w:rFonts w:cs="Times New Roman"/>
          <w:szCs w:val="24"/>
        </w:rPr>
        <w:t xml:space="preserve">The meanings of “immoral” and “scandalous” are not mysterious, but resort to some dictionaries still helps to lay bare the problem. When is expressive material “immoral”? </w:t>
      </w:r>
      <w:r w:rsidRPr="00E87BD0">
        <w:rPr>
          <w:rFonts w:cs="Times New Roman"/>
          <w:szCs w:val="24"/>
        </w:rPr>
        <w:lastRenderedPageBreak/>
        <w:t>According to a standard definition, when it is “inconsistent with rectitude, purity, or good morals”</w:t>
      </w:r>
      <w:r>
        <w:rPr>
          <w:rFonts w:cs="Times New Roman"/>
          <w:szCs w:val="24"/>
        </w:rPr>
        <w:t>;</w:t>
      </w:r>
      <w:r w:rsidRPr="00E87BD0">
        <w:rPr>
          <w:rFonts w:cs="Times New Roman"/>
          <w:szCs w:val="24"/>
        </w:rPr>
        <w:t xml:space="preserve"> “wicked</w:t>
      </w:r>
      <w:r>
        <w:rPr>
          <w:rFonts w:cs="Times New Roman"/>
          <w:szCs w:val="24"/>
        </w:rPr>
        <w:t>”;</w:t>
      </w:r>
      <w:r w:rsidRPr="00E87BD0">
        <w:rPr>
          <w:rFonts w:cs="Times New Roman"/>
          <w:szCs w:val="24"/>
        </w:rPr>
        <w:t xml:space="preserve"> or “vicious.” Webster’s New International Dictionary 1246 (2d ed. 1949). Or again, when it is “opposed to or violating morality</w:t>
      </w:r>
      <w:r>
        <w:rPr>
          <w:rFonts w:cs="Times New Roman"/>
          <w:szCs w:val="24"/>
        </w:rPr>
        <w:t>”;</w:t>
      </w:r>
      <w:r w:rsidRPr="00E87BD0">
        <w:rPr>
          <w:rFonts w:cs="Times New Roman"/>
          <w:szCs w:val="24"/>
        </w:rPr>
        <w:t xml:space="preserve"> or “morally evil.” Shorter Oxford English Dictionary</w:t>
      </w:r>
      <w:r>
        <w:rPr>
          <w:rFonts w:cs="Times New Roman"/>
          <w:szCs w:val="24"/>
        </w:rPr>
        <w:t>.</w:t>
      </w:r>
    </w:p>
    <w:p w14:paraId="1BC347F6"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The 5-justice majority also found the term “scandalous” imposed a</w:t>
      </w:r>
      <w:r>
        <w:rPr>
          <w:rFonts w:cs="Times New Roman"/>
          <w:szCs w:val="24"/>
        </w:rPr>
        <w:t>n</w:t>
      </w:r>
      <w:r w:rsidRPr="00E87BD0">
        <w:rPr>
          <w:rFonts w:cs="Times New Roman"/>
          <w:szCs w:val="24"/>
        </w:rPr>
        <w:t xml:space="preserve"> unconstitutional restriction on speech.</w:t>
      </w:r>
    </w:p>
    <w:p w14:paraId="2DAC57F3"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In addition to looking at the words and their definitions, the Court also looked at how the PTO had applied them</w:t>
      </w:r>
      <w:r>
        <w:rPr>
          <w:rFonts w:cs="Times New Roman"/>
          <w:szCs w:val="24"/>
        </w:rPr>
        <w:t xml:space="preserve"> to previous applications</w:t>
      </w:r>
      <w:r w:rsidRPr="00E87BD0">
        <w:rPr>
          <w:rFonts w:cs="Times New Roman"/>
          <w:szCs w:val="24"/>
        </w:rPr>
        <w:t xml:space="preserve">. Marks conveying approval of drug use </w:t>
      </w:r>
      <w:r>
        <w:rPr>
          <w:rFonts w:cs="Times New Roman"/>
          <w:szCs w:val="24"/>
        </w:rPr>
        <w:t>(</w:t>
      </w:r>
      <w:r w:rsidRPr="00E87BD0">
        <w:rPr>
          <w:rFonts w:cs="Times New Roman"/>
          <w:szCs w:val="24"/>
        </w:rPr>
        <w:t>for example</w:t>
      </w:r>
      <w:r>
        <w:rPr>
          <w:rFonts w:cs="Times New Roman"/>
          <w:szCs w:val="24"/>
        </w:rPr>
        <w:t>,</w:t>
      </w:r>
      <w:r w:rsidRPr="00E87BD0">
        <w:rPr>
          <w:rFonts w:cs="Times New Roman"/>
          <w:szCs w:val="24"/>
        </w:rPr>
        <w:t xml:space="preserve"> </w:t>
      </w:r>
      <w:r>
        <w:rPr>
          <w:rFonts w:cs="Times New Roman"/>
          <w:szCs w:val="24"/>
        </w:rPr>
        <w:t>“</w:t>
      </w:r>
      <w:r w:rsidRPr="00E87BD0">
        <w:rPr>
          <w:rFonts w:cs="Times New Roman"/>
          <w:szCs w:val="24"/>
        </w:rPr>
        <w:t>YOU CAN’T SPELL HEALTH CARE WITHOUT THC FOR PAIN-RELIEF MEDICATION</w:t>
      </w:r>
      <w:r>
        <w:rPr>
          <w:rFonts w:cs="Times New Roman"/>
          <w:szCs w:val="24"/>
        </w:rPr>
        <w:t>”</w:t>
      </w:r>
      <w:r w:rsidRPr="00E87BD0">
        <w:rPr>
          <w:rFonts w:cs="Times New Roman"/>
          <w:szCs w:val="24"/>
        </w:rPr>
        <w:t>)</w:t>
      </w:r>
      <w:r>
        <w:rPr>
          <w:rFonts w:cs="Times New Roman"/>
          <w:szCs w:val="24"/>
        </w:rPr>
        <w:t>,</w:t>
      </w:r>
      <w:r w:rsidRPr="00E87BD0">
        <w:rPr>
          <w:rFonts w:cs="Times New Roman"/>
          <w:szCs w:val="24"/>
        </w:rPr>
        <w:t xml:space="preserve"> had been denied approval</w:t>
      </w:r>
      <w:r>
        <w:rPr>
          <w:rFonts w:cs="Times New Roman"/>
          <w:szCs w:val="24"/>
        </w:rPr>
        <w:t>,</w:t>
      </w:r>
      <w:r w:rsidRPr="00E87BD0">
        <w:rPr>
          <w:rFonts w:cs="Times New Roman"/>
          <w:szCs w:val="24"/>
        </w:rPr>
        <w:t xml:space="preserve"> while antidrug messages had been approved (</w:t>
      </w:r>
      <w:r>
        <w:rPr>
          <w:rFonts w:cs="Times New Roman"/>
          <w:szCs w:val="24"/>
        </w:rPr>
        <w:t>“</w:t>
      </w:r>
      <w:r w:rsidRPr="00E87BD0">
        <w:rPr>
          <w:rFonts w:cs="Times New Roman"/>
          <w:szCs w:val="24"/>
        </w:rPr>
        <w:t>DARE TO SAY NO TO DRUGS</w:t>
      </w:r>
      <w:r>
        <w:rPr>
          <w:rFonts w:cs="Times New Roman"/>
          <w:szCs w:val="24"/>
        </w:rPr>
        <w:t>”</w:t>
      </w:r>
      <w:r w:rsidRPr="00E87BD0">
        <w:rPr>
          <w:rFonts w:cs="Times New Roman"/>
          <w:szCs w:val="24"/>
        </w:rPr>
        <w:t>)</w:t>
      </w:r>
      <w:r>
        <w:rPr>
          <w:rFonts w:cs="Times New Roman"/>
          <w:szCs w:val="24"/>
        </w:rPr>
        <w:t>.</w:t>
      </w:r>
      <w:r w:rsidRPr="00E87BD0">
        <w:rPr>
          <w:rFonts w:cs="Times New Roman"/>
          <w:szCs w:val="24"/>
        </w:rPr>
        <w:t xml:space="preserve"> </w:t>
      </w:r>
      <w:r>
        <w:rPr>
          <w:rFonts w:cs="Times New Roman"/>
          <w:szCs w:val="24"/>
        </w:rPr>
        <w:t>“</w:t>
      </w:r>
      <w:r w:rsidRPr="00E87BD0">
        <w:rPr>
          <w:rFonts w:cs="Times New Roman"/>
          <w:szCs w:val="24"/>
        </w:rPr>
        <w:t>BONG HI</w:t>
      </w:r>
      <w:r>
        <w:rPr>
          <w:rFonts w:cs="Times New Roman"/>
          <w:szCs w:val="24"/>
        </w:rPr>
        <w:t>T</w:t>
      </w:r>
      <w:r w:rsidRPr="00E87BD0">
        <w:rPr>
          <w:rFonts w:cs="Times New Roman"/>
          <w:szCs w:val="24"/>
        </w:rPr>
        <w:t>S FOR 4 JESUS</w:t>
      </w:r>
      <w:r>
        <w:rPr>
          <w:rFonts w:cs="Times New Roman"/>
          <w:szCs w:val="24"/>
        </w:rPr>
        <w:t>”</w:t>
      </w:r>
      <w:r w:rsidRPr="00E87BD0">
        <w:rPr>
          <w:rFonts w:cs="Times New Roman"/>
          <w:szCs w:val="24"/>
        </w:rPr>
        <w:t xml:space="preserve"> was denied because it connected Jesus with illegal drug use</w:t>
      </w:r>
      <w:r>
        <w:rPr>
          <w:rFonts w:cs="Times New Roman"/>
          <w:szCs w:val="24"/>
        </w:rPr>
        <w:t>,</w:t>
      </w:r>
      <w:r w:rsidRPr="00E87BD0">
        <w:rPr>
          <w:rFonts w:cs="Times New Roman"/>
          <w:szCs w:val="24"/>
        </w:rPr>
        <w:t xml:space="preserve"> </w:t>
      </w:r>
      <w:r>
        <w:rPr>
          <w:rFonts w:cs="Times New Roman"/>
          <w:szCs w:val="24"/>
        </w:rPr>
        <w:t>while “</w:t>
      </w:r>
      <w:r w:rsidRPr="00E87BD0">
        <w:rPr>
          <w:rFonts w:cs="Times New Roman"/>
          <w:szCs w:val="24"/>
        </w:rPr>
        <w:t>PR</w:t>
      </w:r>
      <w:r>
        <w:rPr>
          <w:rFonts w:cs="Times New Roman"/>
          <w:szCs w:val="24"/>
        </w:rPr>
        <w:t>AI</w:t>
      </w:r>
      <w:r w:rsidRPr="00E87BD0">
        <w:rPr>
          <w:rFonts w:cs="Times New Roman"/>
          <w:szCs w:val="24"/>
        </w:rPr>
        <w:t>SE THE LORD</w:t>
      </w:r>
      <w:r>
        <w:rPr>
          <w:rFonts w:cs="Times New Roman"/>
          <w:szCs w:val="24"/>
        </w:rPr>
        <w:t>”</w:t>
      </w:r>
      <w:r w:rsidRPr="00E87BD0">
        <w:rPr>
          <w:rFonts w:cs="Times New Roman"/>
          <w:szCs w:val="24"/>
        </w:rPr>
        <w:t xml:space="preserve"> or </w:t>
      </w:r>
      <w:r>
        <w:rPr>
          <w:rFonts w:cs="Times New Roman"/>
          <w:szCs w:val="24"/>
        </w:rPr>
        <w:t>“</w:t>
      </w:r>
      <w:r w:rsidRPr="00E87BD0">
        <w:rPr>
          <w:rFonts w:cs="Times New Roman"/>
          <w:szCs w:val="24"/>
        </w:rPr>
        <w:t>JESUS DIED FOR YOU</w:t>
      </w:r>
      <w:r>
        <w:rPr>
          <w:rFonts w:cs="Times New Roman"/>
          <w:szCs w:val="24"/>
        </w:rPr>
        <w:t>”</w:t>
      </w:r>
      <w:r w:rsidRPr="00E87BD0">
        <w:rPr>
          <w:rFonts w:cs="Times New Roman"/>
          <w:szCs w:val="24"/>
        </w:rPr>
        <w:t xml:space="preserve"> were approved. </w:t>
      </w:r>
    </w:p>
    <w:p w14:paraId="47B6DCDE"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Though all the Justices agreed “immoral” was clear and beyond repair, three dissenters suggested th</w:t>
      </w:r>
      <w:r>
        <w:rPr>
          <w:rFonts w:cs="Times New Roman"/>
          <w:szCs w:val="24"/>
        </w:rPr>
        <w:t>at</w:t>
      </w:r>
      <w:r w:rsidRPr="00E87BD0">
        <w:rPr>
          <w:rFonts w:cs="Times New Roman"/>
          <w:szCs w:val="24"/>
        </w:rPr>
        <w:t xml:space="preserve"> “scandalous” was sufficiently ambiguous to quality for surgical repair by the Court. The majority said this would </w:t>
      </w:r>
      <w:r>
        <w:rPr>
          <w:rFonts w:cs="Times New Roman"/>
          <w:szCs w:val="24"/>
        </w:rPr>
        <w:t xml:space="preserve">in effect </w:t>
      </w:r>
      <w:r w:rsidRPr="00E87BD0">
        <w:rPr>
          <w:rFonts w:cs="Times New Roman"/>
          <w:szCs w:val="24"/>
        </w:rPr>
        <w:t xml:space="preserve">be writing a new statute, which was beyond their power.  </w:t>
      </w:r>
    </w:p>
    <w:p w14:paraId="4D441773"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 xml:space="preserve">The law on when the Court can and should interpret a statute to </w:t>
      </w:r>
      <w:r>
        <w:rPr>
          <w:rFonts w:cs="Times New Roman"/>
          <w:szCs w:val="24"/>
        </w:rPr>
        <w:t xml:space="preserve">give it a saving construction </w:t>
      </w:r>
      <w:r w:rsidRPr="00E87BD0">
        <w:rPr>
          <w:rFonts w:cs="Times New Roman"/>
          <w:szCs w:val="24"/>
        </w:rPr>
        <w:t xml:space="preserve">is a mess. For a discussion of </w:t>
      </w:r>
      <w:r>
        <w:rPr>
          <w:rFonts w:cs="Times New Roman"/>
          <w:szCs w:val="24"/>
        </w:rPr>
        <w:t xml:space="preserve">the possible statutory </w:t>
      </w:r>
      <w:r w:rsidRPr="00E87BD0">
        <w:rPr>
          <w:rFonts w:cs="Times New Roman"/>
          <w:szCs w:val="24"/>
        </w:rPr>
        <w:t xml:space="preserve">construction to save the “scandalous” provision statute from unconstitutionality see, e.g., the opinion </w:t>
      </w:r>
      <w:r>
        <w:rPr>
          <w:rFonts w:cs="Times New Roman"/>
          <w:szCs w:val="24"/>
        </w:rPr>
        <w:t>of</w:t>
      </w:r>
      <w:r w:rsidRPr="00E87BD0">
        <w:rPr>
          <w:rFonts w:cs="Times New Roman"/>
          <w:szCs w:val="24"/>
        </w:rPr>
        <w:t xml:space="preserve"> Justice Sotomayor. </w:t>
      </w:r>
      <w:r>
        <w:rPr>
          <w:rFonts w:cs="Times New Roman"/>
          <w:szCs w:val="24"/>
        </w:rPr>
        <w:t>(It may be noted that w</w:t>
      </w:r>
      <w:r w:rsidRPr="00E87BD0">
        <w:rPr>
          <w:rFonts w:cs="Times New Roman"/>
          <w:szCs w:val="24"/>
        </w:rPr>
        <w:t xml:space="preserve">hen the Court held the </w:t>
      </w:r>
      <w:r>
        <w:rPr>
          <w:rFonts w:cs="Times New Roman"/>
          <w:szCs w:val="24"/>
        </w:rPr>
        <w:t xml:space="preserve">constitutional </w:t>
      </w:r>
      <w:r w:rsidRPr="00E87BD0">
        <w:rPr>
          <w:rFonts w:cs="Times New Roman"/>
          <w:szCs w:val="24"/>
        </w:rPr>
        <w:t xml:space="preserve">test for obscenity needed changing, it applied the revised test to the unchanging federal obscenity statute at three different times, </w:t>
      </w:r>
      <w:r>
        <w:rPr>
          <w:rFonts w:cs="Times New Roman"/>
          <w:szCs w:val="24"/>
        </w:rPr>
        <w:t xml:space="preserve">interpreting it </w:t>
      </w:r>
      <w:r w:rsidRPr="00E87BD0">
        <w:rPr>
          <w:rFonts w:cs="Times New Roman"/>
          <w:szCs w:val="24"/>
        </w:rPr>
        <w:t>to mean three different things.</w:t>
      </w:r>
      <w:r>
        <w:rPr>
          <w:rFonts w:cs="Times New Roman"/>
          <w:szCs w:val="24"/>
        </w:rPr>
        <w:t>)</w:t>
      </w:r>
    </w:p>
    <w:p w14:paraId="484478B5"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r>
      <w:r w:rsidRPr="000D648D">
        <w:rPr>
          <w:rFonts w:cs="Times New Roman"/>
          <w:bCs/>
          <w:szCs w:val="24"/>
        </w:rPr>
        <w:t>Justice Alito</w:t>
      </w:r>
      <w:r w:rsidRPr="00E87BD0">
        <w:rPr>
          <w:rFonts w:cs="Times New Roman"/>
          <w:b/>
          <w:bCs/>
          <w:szCs w:val="24"/>
        </w:rPr>
        <w:t xml:space="preserve"> </w:t>
      </w:r>
      <w:r w:rsidRPr="00E87BD0">
        <w:rPr>
          <w:rFonts w:cs="Times New Roman"/>
          <w:szCs w:val="24"/>
        </w:rPr>
        <w:t xml:space="preserve">concurred. </w:t>
      </w:r>
      <w:r>
        <w:rPr>
          <w:rFonts w:cs="Times New Roman"/>
          <w:szCs w:val="24"/>
        </w:rPr>
        <w:t xml:space="preserve">He noted that in </w:t>
      </w:r>
      <w:r w:rsidRPr="00E87BD0">
        <w:rPr>
          <w:rFonts w:cs="Times New Roman"/>
          <w:szCs w:val="24"/>
        </w:rPr>
        <w:t>many countries “with constitutions or legal traditions that claim to protect freedom of speech, serious viewpoint discrimination is now tolerated, and such discrimination has become increasingly prevalent in this country.</w:t>
      </w:r>
      <w:r>
        <w:rPr>
          <w:rFonts w:cs="Times New Roman"/>
          <w:szCs w:val="24"/>
        </w:rPr>
        <w:t>”</w:t>
      </w:r>
      <w:r w:rsidRPr="00E87BD0">
        <w:rPr>
          <w:rFonts w:cs="Times New Roman"/>
          <w:szCs w:val="24"/>
        </w:rPr>
        <w:t xml:space="preserve"> Since free speech was under attack, the Court needed to remain firm. Still</w:t>
      </w:r>
      <w:r>
        <w:rPr>
          <w:rFonts w:cs="Times New Roman"/>
          <w:szCs w:val="24"/>
        </w:rPr>
        <w:t>,</w:t>
      </w:r>
      <w:r w:rsidRPr="00E87BD0">
        <w:rPr>
          <w:rFonts w:cs="Times New Roman"/>
          <w:szCs w:val="24"/>
        </w:rPr>
        <w:t xml:space="preserve"> Congress co</w:t>
      </w:r>
      <w:r>
        <w:rPr>
          <w:rFonts w:cs="Times New Roman"/>
          <w:szCs w:val="24"/>
        </w:rPr>
        <w:t>u</w:t>
      </w:r>
      <w:r w:rsidRPr="00E87BD0">
        <w:rPr>
          <w:rFonts w:cs="Times New Roman"/>
          <w:szCs w:val="24"/>
        </w:rPr>
        <w:t>ld draft a new statute to deal with scandalous speech. “O</w:t>
      </w:r>
      <w:r>
        <w:rPr>
          <w:rFonts w:cs="Times New Roman"/>
          <w:szCs w:val="24"/>
        </w:rPr>
        <w:t>u</w:t>
      </w:r>
      <w:r w:rsidRPr="00E87BD0">
        <w:rPr>
          <w:rFonts w:cs="Times New Roman"/>
          <w:szCs w:val="24"/>
        </w:rPr>
        <w:t>r decision does not prevent Congress from adopting a more carefully focused statute that precludes the registration of marks containing vulgar terms that play no real part in the expression of ideas.”</w:t>
      </w:r>
    </w:p>
    <w:p w14:paraId="05D7A11B"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r>
      <w:r w:rsidRPr="00664B54">
        <w:rPr>
          <w:rFonts w:cs="Times New Roman"/>
          <w:bCs/>
          <w:szCs w:val="24"/>
        </w:rPr>
        <w:t>Chief Justice Roberts</w:t>
      </w:r>
      <w:r w:rsidRPr="00E87BD0">
        <w:rPr>
          <w:rFonts w:cs="Times New Roman"/>
          <w:b/>
          <w:bCs/>
          <w:szCs w:val="24"/>
        </w:rPr>
        <w:t xml:space="preserve"> </w:t>
      </w:r>
      <w:r w:rsidRPr="00E87BD0">
        <w:rPr>
          <w:rFonts w:cs="Times New Roman"/>
          <w:szCs w:val="24"/>
        </w:rPr>
        <w:t xml:space="preserve">concurred as to the statute’s ban on “immoral” </w:t>
      </w:r>
      <w:proofErr w:type="gramStart"/>
      <w:r w:rsidRPr="00E87BD0">
        <w:rPr>
          <w:rFonts w:cs="Times New Roman"/>
          <w:szCs w:val="24"/>
        </w:rPr>
        <w:t>marks, but</w:t>
      </w:r>
      <w:proofErr w:type="gramEnd"/>
      <w:r w:rsidRPr="00E87BD0">
        <w:rPr>
          <w:rFonts w:cs="Times New Roman"/>
          <w:szCs w:val="24"/>
        </w:rPr>
        <w:t xml:space="preserve"> </w:t>
      </w:r>
      <w:r>
        <w:rPr>
          <w:rFonts w:cs="Times New Roman"/>
          <w:szCs w:val="24"/>
        </w:rPr>
        <w:t xml:space="preserve">dissented </w:t>
      </w:r>
      <w:r w:rsidRPr="00E87BD0">
        <w:rPr>
          <w:rFonts w:cs="Times New Roman"/>
          <w:szCs w:val="24"/>
        </w:rPr>
        <w:t>as to the ban on “scandalous” marks. He said that “standing alone, the term ‘scandalous’ need not be understood to reach marks that offend because of the ideas they convey; it can be read more narrowly to bar marks that offend because of their mode of expression….” For the Chief Justice, a ban on scandalous marks would not offend the First Amendment. Unregistered marks could still be used in commerce to identify goods. “No speech is being restricted; no one is being punished.” The owners of the marks w</w:t>
      </w:r>
      <w:r>
        <w:rPr>
          <w:rFonts w:cs="Times New Roman"/>
          <w:szCs w:val="24"/>
        </w:rPr>
        <w:t>ould</w:t>
      </w:r>
      <w:r w:rsidRPr="00E87BD0">
        <w:rPr>
          <w:rFonts w:cs="Times New Roman"/>
          <w:szCs w:val="24"/>
        </w:rPr>
        <w:t xml:space="preserve"> only </w:t>
      </w:r>
      <w:r>
        <w:rPr>
          <w:rFonts w:cs="Times New Roman"/>
          <w:szCs w:val="24"/>
        </w:rPr>
        <w:t xml:space="preserve">be </w:t>
      </w:r>
      <w:r w:rsidRPr="00E87BD0">
        <w:rPr>
          <w:rFonts w:cs="Times New Roman"/>
          <w:szCs w:val="24"/>
        </w:rPr>
        <w:t xml:space="preserve">denied certain benefits associated with </w:t>
      </w:r>
      <w:r w:rsidRPr="00E87BD0">
        <w:rPr>
          <w:rFonts w:cs="Times New Roman"/>
          <w:szCs w:val="24"/>
        </w:rPr>
        <w:lastRenderedPageBreak/>
        <w:t>registration. In addition, the Government “has an interest in not associating itself with trademarks whose con</w:t>
      </w:r>
      <w:r>
        <w:rPr>
          <w:rFonts w:cs="Times New Roman"/>
          <w:szCs w:val="24"/>
        </w:rPr>
        <w:t>t</w:t>
      </w:r>
      <w:r w:rsidRPr="00E87BD0">
        <w:rPr>
          <w:rFonts w:cs="Times New Roman"/>
          <w:szCs w:val="24"/>
        </w:rPr>
        <w:t>ent is obscene, vulgar, or profane.”</w:t>
      </w:r>
    </w:p>
    <w:p w14:paraId="3C4C4B1F" w14:textId="77777777" w:rsidR="006C5B69" w:rsidRPr="00E87BD0" w:rsidRDefault="006C5B69" w:rsidP="006C5B69">
      <w:pPr>
        <w:autoSpaceDE w:val="0"/>
        <w:autoSpaceDN w:val="0"/>
        <w:adjustRightInd w:val="0"/>
        <w:rPr>
          <w:rFonts w:cs="Times New Roman"/>
          <w:szCs w:val="24"/>
        </w:rPr>
      </w:pPr>
      <w:r w:rsidRPr="00E87BD0">
        <w:rPr>
          <w:rFonts w:cs="Times New Roman"/>
          <w:b/>
          <w:bCs/>
          <w:szCs w:val="24"/>
        </w:rPr>
        <w:tab/>
      </w:r>
      <w:r w:rsidRPr="000D648D">
        <w:rPr>
          <w:rFonts w:cs="Times New Roman"/>
          <w:bCs/>
          <w:szCs w:val="24"/>
        </w:rPr>
        <w:t>Justice Breyer,</w:t>
      </w:r>
      <w:r w:rsidRPr="00E87BD0">
        <w:rPr>
          <w:rFonts w:cs="Times New Roman"/>
          <w:b/>
          <w:bCs/>
          <w:szCs w:val="24"/>
        </w:rPr>
        <w:t xml:space="preserve"> </w:t>
      </w:r>
      <w:r w:rsidRPr="00E87BD0">
        <w:rPr>
          <w:rFonts w:cs="Times New Roman"/>
          <w:szCs w:val="24"/>
        </w:rPr>
        <w:t>concurring in part and dissenting in part, departed more than any other justice from First Amendment doctrine in its current incarnation. In his view, “a category-based approach to the First Amendment” could not “adequately resolve the problem before us.” He would place less emphasis on trying to decide</w:t>
      </w:r>
      <w:r>
        <w:rPr>
          <w:rFonts w:cs="Times New Roman"/>
          <w:szCs w:val="24"/>
        </w:rPr>
        <w:t xml:space="preserve"> “</w:t>
      </w:r>
      <w:r w:rsidRPr="00E87BD0">
        <w:rPr>
          <w:rFonts w:cs="Times New Roman"/>
          <w:szCs w:val="24"/>
        </w:rPr>
        <w:t xml:space="preserve">if the statute at issue was </w:t>
      </w:r>
      <w:r>
        <w:rPr>
          <w:rFonts w:cs="Times New Roman"/>
          <w:szCs w:val="24"/>
        </w:rPr>
        <w:t>‘</w:t>
      </w:r>
      <w:r w:rsidRPr="00E87BD0">
        <w:rPr>
          <w:rFonts w:cs="Times New Roman"/>
          <w:szCs w:val="24"/>
        </w:rPr>
        <w:t>content discrimination,</w:t>
      </w:r>
      <w:r>
        <w:rPr>
          <w:rFonts w:cs="Times New Roman"/>
          <w:szCs w:val="24"/>
        </w:rPr>
        <w:t>’</w:t>
      </w:r>
      <w:r w:rsidRPr="00E87BD0">
        <w:rPr>
          <w:rFonts w:cs="Times New Roman"/>
          <w:szCs w:val="24"/>
        </w:rPr>
        <w:t xml:space="preserve"> </w:t>
      </w:r>
      <w:r>
        <w:rPr>
          <w:rFonts w:cs="Times New Roman"/>
          <w:szCs w:val="24"/>
        </w:rPr>
        <w:t>‘</w:t>
      </w:r>
      <w:r w:rsidRPr="00E87BD0">
        <w:rPr>
          <w:rFonts w:cs="Times New Roman"/>
          <w:szCs w:val="24"/>
        </w:rPr>
        <w:t>viewpoint discrimination,</w:t>
      </w:r>
      <w:r>
        <w:rPr>
          <w:rFonts w:cs="Times New Roman"/>
          <w:szCs w:val="24"/>
        </w:rPr>
        <w:t>’</w:t>
      </w:r>
      <w:r w:rsidRPr="00E87BD0">
        <w:rPr>
          <w:rFonts w:cs="Times New Roman"/>
          <w:szCs w:val="24"/>
        </w:rPr>
        <w:t xml:space="preserve"> </w:t>
      </w:r>
      <w:r>
        <w:rPr>
          <w:rFonts w:cs="Times New Roman"/>
          <w:szCs w:val="24"/>
        </w:rPr>
        <w:t>‘</w:t>
      </w:r>
      <w:r w:rsidRPr="00E87BD0">
        <w:rPr>
          <w:rFonts w:cs="Times New Roman"/>
          <w:szCs w:val="24"/>
        </w:rPr>
        <w:t>commercial speech,</w:t>
      </w:r>
      <w:r>
        <w:rPr>
          <w:rFonts w:cs="Times New Roman"/>
          <w:szCs w:val="24"/>
        </w:rPr>
        <w:t>’</w:t>
      </w:r>
      <w:r w:rsidRPr="00E87BD0">
        <w:rPr>
          <w:rFonts w:cs="Times New Roman"/>
          <w:szCs w:val="24"/>
        </w:rPr>
        <w:t xml:space="preserve"> </w:t>
      </w:r>
      <w:r>
        <w:rPr>
          <w:rFonts w:cs="Times New Roman"/>
          <w:szCs w:val="24"/>
        </w:rPr>
        <w:t>‘</w:t>
      </w:r>
      <w:r w:rsidRPr="00E87BD0">
        <w:rPr>
          <w:rFonts w:cs="Times New Roman"/>
          <w:szCs w:val="24"/>
        </w:rPr>
        <w:t>government speech,</w:t>
      </w:r>
      <w:r>
        <w:rPr>
          <w:rFonts w:cs="Times New Roman"/>
          <w:szCs w:val="24"/>
        </w:rPr>
        <w:t>’</w:t>
      </w:r>
      <w:r w:rsidRPr="00E87BD0">
        <w:rPr>
          <w:rFonts w:cs="Times New Roman"/>
          <w:szCs w:val="24"/>
        </w:rPr>
        <w:t xml:space="preserve"> etc.</w:t>
      </w:r>
      <w:r>
        <w:rPr>
          <w:rFonts w:cs="Times New Roman"/>
          <w:szCs w:val="24"/>
        </w:rPr>
        <w:t>…</w:t>
      </w:r>
      <w:r w:rsidRPr="00E87BD0">
        <w:rPr>
          <w:rFonts w:cs="Times New Roman"/>
          <w:szCs w:val="24"/>
        </w:rPr>
        <w:t>After all, these rules are not absolute.…Even when we consider a regulation that is ostensibly ‘viewpoint discriminatory,</w:t>
      </w:r>
      <w:r>
        <w:rPr>
          <w:rFonts w:cs="Times New Roman"/>
          <w:szCs w:val="24"/>
        </w:rPr>
        <w:t>’</w:t>
      </w:r>
      <w:r w:rsidRPr="00E87BD0">
        <w:rPr>
          <w:rFonts w:cs="Times New Roman"/>
          <w:szCs w:val="24"/>
        </w:rPr>
        <w:t xml:space="preserve"> we sometimes find the regulation to be constitutional after weighing the competing interests involved. See, </w:t>
      </w:r>
      <w:r w:rsidRPr="00E87BD0">
        <w:rPr>
          <w:rFonts w:cs="Times New Roman"/>
          <w:i/>
          <w:iCs/>
          <w:szCs w:val="24"/>
        </w:rPr>
        <w:t>e.g., Morse v Frederick</w:t>
      </w:r>
      <w:r w:rsidRPr="00E87BD0">
        <w:rPr>
          <w:rFonts w:cs="Times New Roman"/>
          <w:szCs w:val="24"/>
        </w:rPr>
        <w:t xml:space="preserve"> (2007) [The </w:t>
      </w:r>
      <w:r>
        <w:rPr>
          <w:rFonts w:cs="Times New Roman"/>
          <w:szCs w:val="24"/>
        </w:rPr>
        <w:t>“</w:t>
      </w:r>
      <w:r w:rsidRPr="00E87BD0">
        <w:rPr>
          <w:rFonts w:cs="Times New Roman"/>
          <w:szCs w:val="24"/>
        </w:rPr>
        <w:t>Bong Hits for Jesus</w:t>
      </w:r>
      <w:r>
        <w:rPr>
          <w:rFonts w:cs="Times New Roman"/>
          <w:szCs w:val="24"/>
        </w:rPr>
        <w:t>”</w:t>
      </w:r>
      <w:r w:rsidRPr="00E87BD0">
        <w:rPr>
          <w:rFonts w:cs="Times New Roman"/>
          <w:szCs w:val="24"/>
        </w:rPr>
        <w:t xml:space="preserve"> case].</w:t>
      </w:r>
      <w:r>
        <w:rPr>
          <w:rFonts w:cs="Times New Roman"/>
          <w:szCs w:val="24"/>
        </w:rPr>
        <w:t>”</w:t>
      </w:r>
    </w:p>
    <w:p w14:paraId="55EAB495"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According to Breyer, the Court “has sometimes applied these rules—especially the category of ‘content discrimination’—to</w:t>
      </w:r>
      <w:r>
        <w:rPr>
          <w:rFonts w:cs="Times New Roman"/>
          <w:szCs w:val="24"/>
        </w:rPr>
        <w:t>o</w:t>
      </w:r>
      <w:r w:rsidRPr="00E87BD0">
        <w:rPr>
          <w:rFonts w:cs="Times New Roman"/>
          <w:szCs w:val="24"/>
        </w:rPr>
        <w:t xml:space="preserve"> rigidly. In </w:t>
      </w:r>
      <w:proofErr w:type="gramStart"/>
      <w:r w:rsidRPr="00E87BD0">
        <w:rPr>
          <w:rFonts w:cs="Times New Roman"/>
          <w:szCs w:val="24"/>
        </w:rPr>
        <w:t>a number of</w:t>
      </w:r>
      <w:proofErr w:type="gramEnd"/>
      <w:r w:rsidRPr="00E87BD0">
        <w:rPr>
          <w:rFonts w:cs="Times New Roman"/>
          <w:szCs w:val="24"/>
        </w:rPr>
        <w:t xml:space="preserve"> cases,</w:t>
      </w:r>
      <w:r>
        <w:rPr>
          <w:rFonts w:cs="Times New Roman"/>
          <w:szCs w:val="24"/>
        </w:rPr>
        <w:t xml:space="preserve"> </w:t>
      </w:r>
      <w:r w:rsidRPr="00E87BD0">
        <w:rPr>
          <w:rFonts w:cs="Times New Roman"/>
          <w:szCs w:val="24"/>
        </w:rPr>
        <w:t xml:space="preserve">the Court has struck down what I believe are ordinary, valid regulations that pose little or no threat to free speech interests that the First Amendment protects. See, </w:t>
      </w:r>
      <w:r w:rsidRPr="00E87BD0">
        <w:rPr>
          <w:rFonts w:cs="Times New Roman"/>
          <w:i/>
          <w:iCs/>
          <w:szCs w:val="24"/>
        </w:rPr>
        <w:t>Janus v. State, County, and Municipal Employees</w:t>
      </w:r>
      <w:r w:rsidRPr="00E87BD0">
        <w:rPr>
          <w:rFonts w:cs="Times New Roman"/>
          <w:szCs w:val="24"/>
        </w:rPr>
        <w:t xml:space="preserve"> (2018); </w:t>
      </w:r>
      <w:r w:rsidRPr="00E87BD0">
        <w:rPr>
          <w:rFonts w:cs="Times New Roman"/>
          <w:i/>
          <w:iCs/>
          <w:szCs w:val="24"/>
        </w:rPr>
        <w:t>Sorrell v. IMS Health, Inc</w:t>
      </w:r>
      <w:r w:rsidRPr="00E87BD0">
        <w:rPr>
          <w:rFonts w:cs="Times New Roman"/>
          <w:szCs w:val="24"/>
        </w:rPr>
        <w:t xml:space="preserve">. (2011) (Breyer, J., dissenting.)” </w:t>
      </w:r>
    </w:p>
    <w:p w14:paraId="281EAD8B"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After considering categories, Justice Breyer concluded</w:t>
      </w:r>
      <w:r>
        <w:rPr>
          <w:rFonts w:cs="Times New Roman"/>
          <w:szCs w:val="24"/>
        </w:rPr>
        <w:t>:</w:t>
      </w:r>
      <w:r w:rsidRPr="00E87BD0">
        <w:rPr>
          <w:rFonts w:cs="Times New Roman"/>
          <w:szCs w:val="24"/>
        </w:rPr>
        <w:t xml:space="preserve"> “</w:t>
      </w:r>
      <w:r>
        <w:rPr>
          <w:rFonts w:cs="Times New Roman"/>
          <w:szCs w:val="24"/>
        </w:rPr>
        <w:t>T</w:t>
      </w:r>
      <w:r w:rsidRPr="00E87BD0">
        <w:rPr>
          <w:rFonts w:cs="Times New Roman"/>
          <w:szCs w:val="24"/>
        </w:rPr>
        <w:t>he trademark statute does not clearly fit within any of the existing outcome-determinative categories Why then should we rigidly adhere to these categories?” Justice Breyer suggested instead that</w:t>
      </w:r>
      <w:r>
        <w:rPr>
          <w:rFonts w:cs="Times New Roman"/>
          <w:szCs w:val="24"/>
        </w:rPr>
        <w:t xml:space="preserve"> </w:t>
      </w:r>
      <w:r w:rsidRPr="00E87BD0">
        <w:rPr>
          <w:rFonts w:cs="Times New Roman"/>
          <w:szCs w:val="24"/>
        </w:rPr>
        <w:t xml:space="preserve">“[w]e should focus on the interests the First Amendment protects and ask a more basic proportionality question: </w:t>
      </w:r>
      <w:r>
        <w:rPr>
          <w:rFonts w:cs="Times New Roman"/>
          <w:szCs w:val="24"/>
        </w:rPr>
        <w:t>d</w:t>
      </w:r>
      <w:r w:rsidRPr="00E87BD0">
        <w:rPr>
          <w:rFonts w:cs="Times New Roman"/>
          <w:szCs w:val="24"/>
        </w:rPr>
        <w:t xml:space="preserve">oes ‘the regulation at issue </w:t>
      </w:r>
      <w:proofErr w:type="spellStart"/>
      <w:r w:rsidRPr="00E87BD0">
        <w:rPr>
          <w:rFonts w:cs="Times New Roman"/>
          <w:szCs w:val="24"/>
        </w:rPr>
        <w:t>wor</w:t>
      </w:r>
      <w:proofErr w:type="spellEnd"/>
      <w:r w:rsidRPr="00E87BD0">
        <w:rPr>
          <w:rFonts w:cs="Times New Roman"/>
          <w:szCs w:val="24"/>
        </w:rPr>
        <w:t xml:space="preserve">[k] harm to First Amendment interests that is disproportionate in light </w:t>
      </w:r>
      <w:r>
        <w:rPr>
          <w:rFonts w:cs="Times New Roman"/>
          <w:szCs w:val="24"/>
        </w:rPr>
        <w:t>of</w:t>
      </w:r>
      <w:r w:rsidRPr="00E87BD0">
        <w:rPr>
          <w:rFonts w:cs="Times New Roman"/>
          <w:szCs w:val="24"/>
        </w:rPr>
        <w:t xml:space="preserve"> the relevant regulatory objectives’”? His was essentially a modified balancing test with a thumb on the scale </w:t>
      </w:r>
      <w:r>
        <w:rPr>
          <w:rFonts w:cs="Times New Roman"/>
          <w:szCs w:val="24"/>
        </w:rPr>
        <w:t>in favor of protecting</w:t>
      </w:r>
      <w:r w:rsidRPr="00E87BD0">
        <w:rPr>
          <w:rFonts w:cs="Times New Roman"/>
          <w:szCs w:val="24"/>
        </w:rPr>
        <w:t xml:space="preserve"> substantial First Amendment interests.  </w:t>
      </w:r>
    </w:p>
    <w:p w14:paraId="3BF4792D"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 xml:space="preserve">In considering the competing interests, Justice Breyer noted that businesses “were free to use highly vulgar or obscene works on their products, and even to use the words next to registered marks, provided [the owner of the mark] is willing to forgo the benefits of registration.” </w:t>
      </w:r>
    </w:p>
    <w:p w14:paraId="2CD9785C"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He considered, by way of contrast, the Government’s interests:</w:t>
      </w:r>
    </w:p>
    <w:p w14:paraId="2DEB2010"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 xml:space="preserve">1. Registering a mark tends to promote it. The government has an interest in not promoting “scandalous” words, as the narrowly defined. </w:t>
      </w:r>
    </w:p>
    <w:p w14:paraId="3039D9F5"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2. Attention grabbing words may distract consumers and disrupt commerce.</w:t>
      </w:r>
    </w:p>
    <w:p w14:paraId="366B652B"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 xml:space="preserve">3. They may lead to </w:t>
      </w:r>
      <w:r>
        <w:rPr>
          <w:rFonts w:cs="Times New Roman"/>
          <w:szCs w:val="24"/>
        </w:rPr>
        <w:t xml:space="preserve">the creation of </w:t>
      </w:r>
      <w:r w:rsidRPr="00E87BD0">
        <w:rPr>
          <w:rFonts w:cs="Times New Roman"/>
          <w:szCs w:val="24"/>
        </w:rPr>
        <w:t>public spaces that many may find repellant. “</w:t>
      </w:r>
      <w:r>
        <w:rPr>
          <w:rFonts w:cs="Times New Roman"/>
          <w:szCs w:val="24"/>
        </w:rPr>
        <w:t>(</w:t>
      </w:r>
      <w:r w:rsidRPr="00E87BD0">
        <w:rPr>
          <w:rFonts w:cs="Times New Roman"/>
          <w:szCs w:val="24"/>
        </w:rPr>
        <w:t>Just think about how you might react if you saw someone wearing a t-shirt or using a product emblazoned with an odious racial epithet.</w:t>
      </w:r>
      <w:r>
        <w:rPr>
          <w:rFonts w:cs="Times New Roman"/>
          <w:szCs w:val="24"/>
        </w:rPr>
        <w:t>)</w:t>
      </w:r>
      <w:r w:rsidRPr="00E87BD0">
        <w:rPr>
          <w:rFonts w:cs="Times New Roman"/>
          <w:szCs w:val="24"/>
        </w:rPr>
        <w:t xml:space="preserve"> The government thus has an interest in seeking to </w:t>
      </w:r>
      <w:r w:rsidRPr="00E87BD0">
        <w:rPr>
          <w:rFonts w:cs="Times New Roman"/>
          <w:szCs w:val="24"/>
        </w:rPr>
        <w:lastRenderedPageBreak/>
        <w:t>disincentivize the use of such words in commerce by denying the benefit of trademark registration.</w:t>
      </w:r>
      <w:r>
        <w:rPr>
          <w:rFonts w:cs="Times New Roman"/>
          <w:szCs w:val="24"/>
        </w:rPr>
        <w:t>”</w:t>
      </w:r>
    </w:p>
    <w:p w14:paraId="5115024E"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t>4. Though some consumers may be attracted to products with highly vulgar or obscene words as their trademark, others may believe such words should not be displayed in public spaces where good</w:t>
      </w:r>
      <w:r>
        <w:rPr>
          <w:rFonts w:cs="Times New Roman"/>
          <w:szCs w:val="24"/>
        </w:rPr>
        <w:t>s</w:t>
      </w:r>
      <w:r w:rsidRPr="00E87BD0">
        <w:rPr>
          <w:rFonts w:cs="Times New Roman"/>
          <w:szCs w:val="24"/>
        </w:rPr>
        <w:t xml:space="preserve"> are sold and where children are likely to be present.  </w:t>
      </w:r>
    </w:p>
    <w:p w14:paraId="2E064274" w14:textId="77777777" w:rsidR="006C5B69" w:rsidRPr="00E87BD0" w:rsidRDefault="006C5B69" w:rsidP="006C5B69">
      <w:pPr>
        <w:autoSpaceDE w:val="0"/>
        <w:autoSpaceDN w:val="0"/>
        <w:adjustRightInd w:val="0"/>
        <w:rPr>
          <w:rFonts w:cs="Times New Roman"/>
          <w:szCs w:val="24"/>
        </w:rPr>
      </w:pPr>
      <w:r w:rsidRPr="00E87BD0">
        <w:rPr>
          <w:rFonts w:cs="Times New Roman"/>
          <w:szCs w:val="24"/>
        </w:rPr>
        <w:tab/>
      </w:r>
      <w:r w:rsidRPr="000D648D">
        <w:rPr>
          <w:rFonts w:cs="Times New Roman"/>
          <w:bCs/>
          <w:szCs w:val="24"/>
        </w:rPr>
        <w:t>Justice Sotomayor’s opinion</w:t>
      </w:r>
      <w:r w:rsidRPr="00E87BD0">
        <w:rPr>
          <w:rFonts w:cs="Times New Roman"/>
          <w:szCs w:val="24"/>
        </w:rPr>
        <w:t xml:space="preserve">, with which Justice Breyer joined to the extent it was consistent with his opinion, </w:t>
      </w:r>
      <w:r>
        <w:rPr>
          <w:rFonts w:cs="Times New Roman"/>
          <w:szCs w:val="24"/>
        </w:rPr>
        <w:t xml:space="preserve">concurred in part and dissented in part. She </w:t>
      </w:r>
      <w:r w:rsidRPr="00E87BD0">
        <w:rPr>
          <w:rFonts w:cs="Times New Roman"/>
          <w:szCs w:val="24"/>
        </w:rPr>
        <w:t xml:space="preserve">would have given the word </w:t>
      </w:r>
      <w:r>
        <w:rPr>
          <w:rFonts w:cs="Times New Roman"/>
          <w:szCs w:val="24"/>
        </w:rPr>
        <w:t>“</w:t>
      </w:r>
      <w:r w:rsidRPr="00E87BD0">
        <w:rPr>
          <w:rFonts w:cs="Times New Roman"/>
          <w:szCs w:val="24"/>
        </w:rPr>
        <w:t>scandalous</w:t>
      </w:r>
      <w:r>
        <w:rPr>
          <w:rFonts w:cs="Times New Roman"/>
          <w:szCs w:val="24"/>
        </w:rPr>
        <w:t>”</w:t>
      </w:r>
      <w:r w:rsidRPr="00E87BD0">
        <w:rPr>
          <w:rFonts w:cs="Times New Roman"/>
          <w:szCs w:val="24"/>
        </w:rPr>
        <w:t xml:space="preserve"> a limited meaning. Under the Court’s decision, as she saw it, “Government will have no statutory basis to refuse (and thus no choice but to begin) registering marks containing the most vulgar, profane or obscene words and images imaginable.” </w:t>
      </w:r>
    </w:p>
    <w:p w14:paraId="413026FF" w14:textId="77777777" w:rsidR="006C5B69" w:rsidRDefault="006C5B69" w:rsidP="006C5B69">
      <w:r w:rsidRPr="00E87BD0">
        <w:rPr>
          <w:rFonts w:cs="Times New Roman"/>
          <w:szCs w:val="24"/>
        </w:rPr>
        <w:tab/>
        <w:t xml:space="preserve">As to “immoral” marks, Justice Sotomayor and Breyer agreed that there was no tenable way to read the statute to save it. But a limited construction of </w:t>
      </w:r>
      <w:r>
        <w:rPr>
          <w:rFonts w:cs="Times New Roman"/>
          <w:szCs w:val="24"/>
        </w:rPr>
        <w:t>“</w:t>
      </w:r>
      <w:r w:rsidRPr="00E87BD0">
        <w:rPr>
          <w:rFonts w:cs="Times New Roman"/>
          <w:szCs w:val="24"/>
        </w:rPr>
        <w:t>scandalous</w:t>
      </w:r>
      <w:r>
        <w:rPr>
          <w:rFonts w:cs="Times New Roman"/>
          <w:szCs w:val="24"/>
        </w:rPr>
        <w:t>”</w:t>
      </w:r>
      <w:r w:rsidRPr="00E87BD0">
        <w:rPr>
          <w:rFonts w:cs="Times New Roman"/>
          <w:szCs w:val="24"/>
        </w:rPr>
        <w:t xml:space="preserve"> was, they believed, justified. For them, the majority’s reading of “scandalous” was tenable but, not the only reasonable one. Instead, they would interpret “scandalous” in a non-redundant way—to cover only marks that are offensive only because of the mode in which they are expressed—a small group of lewd words or “swear” words that cause a visceral reaction, that are not commonly used around children, and that are prohibited in comparable setting</w:t>
      </w:r>
      <w:r>
        <w:rPr>
          <w:rFonts w:cs="Times New Roman"/>
          <w:szCs w:val="24"/>
        </w:rPr>
        <w:t>s</w:t>
      </w:r>
      <w:r w:rsidRPr="00E87BD0">
        <w:rPr>
          <w:rFonts w:cs="Times New Roman"/>
          <w:szCs w:val="24"/>
        </w:rPr>
        <w:t xml:space="preserve">. These restrictions of </w:t>
      </w:r>
      <w:proofErr w:type="gramStart"/>
      <w:r w:rsidRPr="00E87BD0">
        <w:rPr>
          <w:rFonts w:cs="Times New Roman"/>
          <w:szCs w:val="24"/>
        </w:rPr>
        <w:t>particular modes</w:t>
      </w:r>
      <w:proofErr w:type="gramEnd"/>
      <w:r w:rsidRPr="00E87BD0">
        <w:rPr>
          <w:rFonts w:cs="Times New Roman"/>
          <w:szCs w:val="24"/>
        </w:rPr>
        <w:t xml:space="preserve"> of expression they said</w:t>
      </w:r>
      <w:r>
        <w:rPr>
          <w:rFonts w:cs="Times New Roman"/>
          <w:szCs w:val="24"/>
        </w:rPr>
        <w:t>,</w:t>
      </w:r>
      <w:r w:rsidRPr="00E87BD0">
        <w:rPr>
          <w:rFonts w:cs="Times New Roman"/>
          <w:szCs w:val="24"/>
        </w:rPr>
        <w:t xml:space="preserve"> “do not qualify as viewpoint discrimination” because “they are not by nature examples of ‘government targeting … particular views taken by speakers on a subject</w:t>
      </w:r>
      <w:r>
        <w:rPr>
          <w:rFonts w:cs="Times New Roman"/>
          <w:szCs w:val="24"/>
        </w:rPr>
        <w:t>.</w:t>
      </w:r>
      <w:r w:rsidRPr="00E87BD0">
        <w:rPr>
          <w:rFonts w:cs="Times New Roman"/>
          <w:szCs w:val="24"/>
        </w:rPr>
        <w:t>’”</w:t>
      </w:r>
    </w:p>
    <w:bookmarkEnd w:id="42"/>
    <w:p w14:paraId="49ABDC06" w14:textId="77777777" w:rsidR="006C5B69" w:rsidRPr="006C5B69" w:rsidRDefault="006C5B69" w:rsidP="006C5B69"/>
    <w:p w14:paraId="09E26288" w14:textId="1B7D4998" w:rsidR="00675288" w:rsidRPr="00B96CAA" w:rsidRDefault="00675288" w:rsidP="007201FD">
      <w:pPr>
        <w:pStyle w:val="Heading2"/>
        <w:rPr>
          <w:rFonts w:cs="Times New Roman"/>
          <w:szCs w:val="24"/>
        </w:rPr>
      </w:pPr>
      <w:bookmarkStart w:id="45" w:name="_Toc16886258"/>
      <w:r w:rsidRPr="00B96CAA">
        <w:rPr>
          <w:rFonts w:cs="Times New Roman"/>
          <w:szCs w:val="24"/>
        </w:rPr>
        <w:t>Part II, Section XVII</w:t>
      </w:r>
      <w:r w:rsidR="0063530F" w:rsidRPr="00B96CAA">
        <w:rPr>
          <w:rFonts w:cs="Times New Roman"/>
          <w:szCs w:val="24"/>
        </w:rPr>
        <w:t>,</w:t>
      </w:r>
      <w:r w:rsidRPr="00B96CAA">
        <w:rPr>
          <w:rFonts w:cs="Times New Roman"/>
          <w:szCs w:val="24"/>
        </w:rPr>
        <w:t xml:space="preserve"> Commercial Speech</w:t>
      </w:r>
      <w:bookmarkEnd w:id="45"/>
    </w:p>
    <w:p w14:paraId="4CEAB1BB" w14:textId="77777777" w:rsidR="00675288" w:rsidRPr="00B96CAA" w:rsidRDefault="00675288" w:rsidP="00675288">
      <w:pPr>
        <w:rPr>
          <w:rFonts w:cs="Times New Roman"/>
          <w:szCs w:val="24"/>
        </w:rPr>
      </w:pPr>
      <w:r w:rsidRPr="00B96CAA">
        <w:rPr>
          <w:rFonts w:cs="Times New Roman"/>
          <w:szCs w:val="24"/>
        </w:rPr>
        <w:t>[</w:t>
      </w:r>
      <w:r w:rsidRPr="0042724A">
        <w:rPr>
          <w:rFonts w:cs="Times New Roman"/>
          <w:i/>
          <w:szCs w:val="24"/>
        </w:rPr>
        <w:t xml:space="preserve">Insert on page 1328 after </w:t>
      </w:r>
      <w:r w:rsidRPr="0042724A">
        <w:rPr>
          <w:rFonts w:cs="Times New Roman"/>
          <w:szCs w:val="24"/>
        </w:rPr>
        <w:t>Sorrell v. IMS Health, Inc.</w:t>
      </w:r>
      <w:r w:rsidRPr="00B96CAA">
        <w:rPr>
          <w:rFonts w:cs="Times New Roman"/>
          <w:szCs w:val="24"/>
        </w:rPr>
        <w:t>]</w:t>
      </w:r>
    </w:p>
    <w:p w14:paraId="40466E2A" w14:textId="77777777" w:rsidR="00675288" w:rsidRPr="00B96CAA" w:rsidRDefault="00675288" w:rsidP="0063530F">
      <w:pPr>
        <w:pStyle w:val="Heading3"/>
        <w:jc w:val="center"/>
        <w:rPr>
          <w:szCs w:val="24"/>
        </w:rPr>
      </w:pPr>
      <w:bookmarkStart w:id="46" w:name="_Toc16886259"/>
      <w:r w:rsidRPr="00B96CAA">
        <w:rPr>
          <w:szCs w:val="24"/>
        </w:rPr>
        <w:t>National Institute of Family and Life Advocates v. Becerra</w:t>
      </w:r>
      <w:bookmarkEnd w:id="46"/>
    </w:p>
    <w:p w14:paraId="68FD1DB8" w14:textId="77777777" w:rsidR="00675288" w:rsidRPr="00B96CAA" w:rsidRDefault="00675288" w:rsidP="007201FD">
      <w:pPr>
        <w:jc w:val="center"/>
        <w:rPr>
          <w:rFonts w:cs="Times New Roman"/>
          <w:szCs w:val="24"/>
        </w:rPr>
      </w:pPr>
      <w:r w:rsidRPr="00B96CAA">
        <w:rPr>
          <w:rFonts w:cs="Times New Roman"/>
          <w:szCs w:val="24"/>
        </w:rPr>
        <w:t xml:space="preserve">585 U.S. </w:t>
      </w:r>
      <w:r w:rsidRPr="00B96CAA">
        <w:rPr>
          <w:rFonts w:cs="Times New Roman"/>
          <w:szCs w:val="24"/>
          <w:u w:val="single"/>
        </w:rPr>
        <w:t>__</w:t>
      </w:r>
      <w:r w:rsidRPr="00B96CAA">
        <w:rPr>
          <w:rFonts w:cs="Times New Roman"/>
          <w:szCs w:val="24"/>
        </w:rPr>
        <w:t xml:space="preserve"> (2018)</w:t>
      </w:r>
    </w:p>
    <w:p w14:paraId="69D7C2AC" w14:textId="74EBBC7E" w:rsidR="00675288" w:rsidRPr="00B96CAA" w:rsidRDefault="00675288" w:rsidP="00675288">
      <w:pPr>
        <w:ind w:firstLine="720"/>
        <w:jc w:val="both"/>
        <w:rPr>
          <w:rFonts w:cs="Times New Roman"/>
          <w:szCs w:val="24"/>
        </w:rPr>
      </w:pPr>
      <w:r w:rsidRPr="00B96CAA">
        <w:rPr>
          <w:rFonts w:cs="Times New Roman"/>
          <w:szCs w:val="24"/>
        </w:rPr>
        <w:t>[Majority: Thomas,</w:t>
      </w:r>
      <w:r w:rsidR="001B44A0">
        <w:rPr>
          <w:rFonts w:cs="Times New Roman"/>
          <w:szCs w:val="24"/>
        </w:rPr>
        <w:t xml:space="preserve"> J.,</w:t>
      </w:r>
      <w:r w:rsidRPr="00B96CAA">
        <w:rPr>
          <w:rFonts w:cs="Times New Roman"/>
          <w:szCs w:val="24"/>
        </w:rPr>
        <w:t xml:space="preserve"> Roberts (C.J.), Kennedy, Alito, and Gorsuch</w:t>
      </w:r>
      <w:r w:rsidR="001B44A0">
        <w:rPr>
          <w:rFonts w:cs="Times New Roman"/>
          <w:szCs w:val="24"/>
        </w:rPr>
        <w:t>, JJ</w:t>
      </w:r>
      <w:r w:rsidRPr="00B96CAA">
        <w:rPr>
          <w:rFonts w:cs="Times New Roman"/>
          <w:szCs w:val="24"/>
        </w:rPr>
        <w:t xml:space="preserve">. Concurring: Kennedy, </w:t>
      </w:r>
      <w:r w:rsidR="001B44A0">
        <w:rPr>
          <w:rFonts w:cs="Times New Roman"/>
          <w:szCs w:val="24"/>
        </w:rPr>
        <w:t xml:space="preserve">J., </w:t>
      </w:r>
      <w:r w:rsidRPr="00B96CAA">
        <w:rPr>
          <w:rFonts w:cs="Times New Roman"/>
          <w:szCs w:val="24"/>
        </w:rPr>
        <w:t>joined by Roberts (C.J.), Alito, and Gorsuch</w:t>
      </w:r>
      <w:r w:rsidR="001B44A0">
        <w:rPr>
          <w:rFonts w:cs="Times New Roman"/>
          <w:szCs w:val="24"/>
        </w:rPr>
        <w:t>, JJ</w:t>
      </w:r>
      <w:r w:rsidRPr="00B96CAA">
        <w:rPr>
          <w:rFonts w:cs="Times New Roman"/>
          <w:szCs w:val="24"/>
        </w:rPr>
        <w:t>. Dissent: Breyer,</w:t>
      </w:r>
      <w:r w:rsidR="001B44A0">
        <w:rPr>
          <w:rFonts w:cs="Times New Roman"/>
          <w:szCs w:val="24"/>
        </w:rPr>
        <w:t xml:space="preserve"> </w:t>
      </w:r>
      <w:r w:rsidRPr="00B96CAA">
        <w:rPr>
          <w:rFonts w:cs="Times New Roman"/>
          <w:szCs w:val="24"/>
        </w:rPr>
        <w:t>joined by Ginsburg, Sotomayor, and Kagan</w:t>
      </w:r>
      <w:r w:rsidR="001B44A0">
        <w:rPr>
          <w:rFonts w:cs="Times New Roman"/>
          <w:szCs w:val="24"/>
        </w:rPr>
        <w:t>, JJ.</w:t>
      </w:r>
      <w:r w:rsidRPr="00B96CAA">
        <w:rPr>
          <w:rFonts w:cs="Times New Roman"/>
          <w:szCs w:val="24"/>
        </w:rPr>
        <w:t>]</w:t>
      </w:r>
    </w:p>
    <w:p w14:paraId="5C7BEF05" w14:textId="77777777" w:rsidR="00675288" w:rsidRPr="00B96CAA" w:rsidRDefault="00675288" w:rsidP="00675288">
      <w:pPr>
        <w:widowControl w:val="0"/>
        <w:autoSpaceDE w:val="0"/>
        <w:autoSpaceDN w:val="0"/>
        <w:adjustRightInd w:val="0"/>
        <w:spacing w:after="240"/>
        <w:ind w:firstLine="720"/>
        <w:jc w:val="both"/>
        <w:rPr>
          <w:rFonts w:cs="Times New Roman"/>
          <w:b/>
          <w:color w:val="000000"/>
          <w:szCs w:val="24"/>
        </w:rPr>
      </w:pPr>
      <w:r w:rsidRPr="00B96CAA">
        <w:rPr>
          <w:rFonts w:cs="Times New Roman"/>
          <w:b/>
          <w:color w:val="000000"/>
          <w:szCs w:val="24"/>
        </w:rPr>
        <w:t xml:space="preserve">Justice Thomas delivered the opinion of the Court. </w:t>
      </w:r>
    </w:p>
    <w:p w14:paraId="198D8CE1"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The California Reproductive Freedom, Accountability, Comprehensive Care, and Transparency Act (FACT Act) requires clinics that primarily serve pregnant women to provide certain notices…. Licensed clinics must notify women that California provides free or low-cost services, including abortions, and give them a phone number to call. Unlicensed clinics must notify women that California has not licensed the clinics to provide medical services. The question in this case is whether these notice requirements violate the First Amendment. </w:t>
      </w:r>
    </w:p>
    <w:p w14:paraId="66624317"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lastRenderedPageBreak/>
        <w:t>I-A. The California State Legislature enacted the FACT Act to regulate crisis pregnancy centers. Crisis pregnancy centers … are “pro-life (largely Christian belief-based) organizations that offer a limited range of free pregnancy options, counseling, and other services to individuals that visit a center.” … The author of the FACT Act observed that crisis pregnancy centers “are commonly affiliated with, or run by organizations whose stated goal” is to oppose abortion….</w:t>
      </w:r>
    </w:p>
    <w:p w14:paraId="62B4C1C3"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I-A-1. The first notice requirement applies to “licensed covered </w:t>
      </w:r>
      <w:proofErr w:type="spellStart"/>
      <w:r w:rsidRPr="00B96CAA">
        <w:rPr>
          <w:rFonts w:cs="Times New Roman"/>
          <w:color w:val="000000"/>
          <w:szCs w:val="24"/>
        </w:rPr>
        <w:t>facilit</w:t>
      </w:r>
      <w:proofErr w:type="spellEnd"/>
      <w:r w:rsidRPr="00B96CAA">
        <w:rPr>
          <w:rFonts w:cs="Times New Roman"/>
          <w:color w:val="000000"/>
          <w:szCs w:val="24"/>
        </w:rPr>
        <w:t>[</w:t>
      </w:r>
      <w:proofErr w:type="spellStart"/>
      <w:r w:rsidRPr="00B96CAA">
        <w:rPr>
          <w:rFonts w:cs="Times New Roman"/>
          <w:color w:val="000000"/>
          <w:szCs w:val="24"/>
        </w:rPr>
        <w:t>ies</w:t>
      </w:r>
      <w:proofErr w:type="spellEnd"/>
      <w:r w:rsidRPr="00B96CAA">
        <w:rPr>
          <w:rFonts w:cs="Times New Roman"/>
          <w:color w:val="000000"/>
          <w:szCs w:val="24"/>
        </w:rPr>
        <w:t>].” ... To fall under the definition of “licensed covered facility,” a clinic must be a licensed primary care or specialty clinic or qualify as an intermittent clinic under California law…. A licensed covered facility also must have the “primary purpose” of “providing family planning or pregnancy-related services.” And it must satisfy at least two of the following six requirements: “(1) The facility offers obstetric ultrasounds, obstetric sonograms, or prenatal care to pregnant women; (2) The facility provides, or offers counseling about, contraception or contraceptive methods; (3) The facility offers pregnancy testing or pregnancy diagnosis; (4) The facility advertises or solicits patrons with offers to provide prenatal sonography, pregnancy tests, or pregnancy options counseling; (5) The facility offers abortion services; (6) The facility has staff or volunteers who collect health information from clients.”</w:t>
      </w:r>
    </w:p>
    <w:p w14:paraId="4B7A5212"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If a clinic is a licensed covered facility, the FACT Act requires it to disseminate a government-drafted notice on site … stat[</w:t>
      </w:r>
      <w:proofErr w:type="spellStart"/>
      <w:r w:rsidRPr="00B96CAA">
        <w:rPr>
          <w:rFonts w:cs="Times New Roman"/>
          <w:color w:val="000000"/>
          <w:szCs w:val="24"/>
        </w:rPr>
        <w:t>ing</w:t>
      </w:r>
      <w:proofErr w:type="spellEnd"/>
      <w:r w:rsidRPr="00B96CAA">
        <w:rPr>
          <w:rFonts w:cs="Times New Roman"/>
          <w:color w:val="000000"/>
          <w:szCs w:val="24"/>
        </w:rPr>
        <w:t>] that “California has public programs that provide immediate free or low-cost access to comprehensive family planning services (including all FDA-approved methods of contraception), prenatal care, and abortion for eligible women. To determine whether you qualify, contact the county social services office at [insert the telephone number].”</w:t>
      </w:r>
      <w:r w:rsidRPr="00B96CAA">
        <w:rPr>
          <w:rFonts w:cs="Times New Roman"/>
          <w:iCs/>
          <w:color w:val="000000"/>
          <w:szCs w:val="24"/>
        </w:rPr>
        <w:t>...</w:t>
      </w:r>
    </w:p>
    <w:p w14:paraId="2EAB5C86"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I-A-2. The second notice requirement in the FACT Act applies to “unlicensed covered </w:t>
      </w:r>
      <w:proofErr w:type="spellStart"/>
      <w:r w:rsidRPr="00B96CAA">
        <w:rPr>
          <w:rFonts w:cs="Times New Roman"/>
          <w:color w:val="000000"/>
          <w:szCs w:val="24"/>
        </w:rPr>
        <w:t>facilit</w:t>
      </w:r>
      <w:proofErr w:type="spellEnd"/>
      <w:r w:rsidRPr="00B96CAA">
        <w:rPr>
          <w:rFonts w:cs="Times New Roman"/>
          <w:color w:val="000000"/>
          <w:szCs w:val="24"/>
        </w:rPr>
        <w:t>[</w:t>
      </w:r>
      <w:proofErr w:type="spellStart"/>
      <w:r w:rsidRPr="00B96CAA">
        <w:rPr>
          <w:rFonts w:cs="Times New Roman"/>
          <w:color w:val="000000"/>
          <w:szCs w:val="24"/>
        </w:rPr>
        <w:t>ies</w:t>
      </w:r>
      <w:proofErr w:type="spellEnd"/>
      <w:r w:rsidRPr="00B96CAA">
        <w:rPr>
          <w:rFonts w:cs="Times New Roman"/>
          <w:color w:val="000000"/>
          <w:szCs w:val="24"/>
        </w:rPr>
        <w:t>].” To fall under the definition of “unlicensed covered facility,” a facility must not be licensed by the State, not have a licensed medical provider on staff or under contract, and have the “primary purpose” of “providing pregnancy-related services.”</w:t>
      </w:r>
      <w:r w:rsidRPr="00B96CAA">
        <w:rPr>
          <w:rFonts w:cs="Times New Roman"/>
          <w:i/>
          <w:iCs/>
          <w:color w:val="000000"/>
          <w:szCs w:val="24"/>
        </w:rPr>
        <w:t xml:space="preserve"> </w:t>
      </w:r>
      <w:r w:rsidRPr="00B96CAA">
        <w:rPr>
          <w:rFonts w:cs="Times New Roman"/>
          <w:color w:val="000000"/>
          <w:szCs w:val="24"/>
        </w:rPr>
        <w:t>An unlicensed covered facility also must satisfy at least two of the following four requirements: “(1) The facility offers obstetric ultrasounds, obstetric sonograms, or prenatal care to pregnant women; (2) The facility offers pregnancy testing or pregnancy diagnosis; (3) The facility advertises or solicits patrons with offers to provide prenatal sonography, pregnancy tests, or pregnancy options counseling; (4) The facility has staff or volunteers who collect health information from clients.”</w:t>
      </w:r>
    </w:p>
    <w:p w14:paraId="7F094E4D"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Clinics operated by the United States and licensed primary care clinics enrolled in Medi-Cal and Family PACT are excluded [from both notice requirements].… Unlicensed covered facilities must provide a government-drafted notice stating that “[t]his facility is not licensed as a medical facility by the State of California and has no licensed medical provider who provides or directly supervises the provision of services.” ...</w:t>
      </w:r>
    </w:p>
    <w:p w14:paraId="230DE712"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I-B. Petitioners alleged that the licensed and unlicensed notices abridge the freedom of speech protected by the First Amendment. The District Court denied their motion for a preliminary </w:t>
      </w:r>
      <w:r w:rsidRPr="00B96CAA">
        <w:rPr>
          <w:rFonts w:cs="Times New Roman"/>
          <w:color w:val="000000"/>
          <w:szCs w:val="24"/>
        </w:rPr>
        <w:lastRenderedPageBreak/>
        <w:t>injunction.</w:t>
      </w:r>
      <w:r w:rsidRPr="00B96CAA">
        <w:rPr>
          <w:rFonts w:eastAsia="MS Mincho" w:cs="Times New Roman"/>
          <w:color w:val="000000"/>
          <w:szCs w:val="24"/>
        </w:rPr>
        <w:t> </w:t>
      </w:r>
      <w:r w:rsidRPr="00B96CAA">
        <w:rPr>
          <w:rFonts w:cs="Times New Roman"/>
          <w:color w:val="000000"/>
          <w:szCs w:val="24"/>
        </w:rPr>
        <w:t>The Court of Appeals for the Ninth Circuit affirmed….</w:t>
      </w:r>
    </w:p>
    <w:p w14:paraId="67666432"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We reverse with respect to both notice requirements. </w:t>
      </w:r>
    </w:p>
    <w:p w14:paraId="5E1EB704"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II.</w:t>
      </w:r>
      <w:r w:rsidRPr="00B96CAA">
        <w:rPr>
          <w:rFonts w:eastAsia="MS Mincho" w:cs="Times New Roman"/>
          <w:color w:val="000000"/>
          <w:szCs w:val="24"/>
        </w:rPr>
        <w:t> </w:t>
      </w:r>
      <w:r w:rsidRPr="00B96CAA">
        <w:rPr>
          <w:rFonts w:cs="Times New Roman"/>
          <w:color w:val="000000"/>
          <w:szCs w:val="24"/>
        </w:rPr>
        <w:t>We first address the licensed notice.</w:t>
      </w:r>
      <w:r w:rsidRPr="00B96CAA">
        <w:rPr>
          <w:rFonts w:cs="Times New Roman"/>
          <w:color w:val="000000"/>
          <w:position w:val="8"/>
          <w:szCs w:val="24"/>
        </w:rPr>
        <w:t xml:space="preserve"> </w:t>
      </w:r>
    </w:p>
    <w:p w14:paraId="5B600106"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II-A. The First Amendment, applicable to the States through the Fourteenth Amendment, prohibits laws that abridge the freedom of speech. When enforcing this prohibition, our precedents distinguish between content-based and content-neutral regulations of speech. Content-based regulations “target speech based on its communicative content.” </w:t>
      </w:r>
      <w:r w:rsidRPr="00B96CAA">
        <w:rPr>
          <w:rFonts w:cs="Times New Roman"/>
          <w:i/>
          <w:iCs/>
          <w:color w:val="000000"/>
          <w:szCs w:val="24"/>
        </w:rPr>
        <w:t xml:space="preserve">Reed </w:t>
      </w:r>
      <w:r w:rsidRPr="00B96CAA">
        <w:rPr>
          <w:rFonts w:cs="Times New Roman"/>
          <w:color w:val="000000"/>
          <w:szCs w:val="24"/>
        </w:rPr>
        <w:t xml:space="preserve">v. </w:t>
      </w:r>
      <w:r w:rsidRPr="00B96CAA">
        <w:rPr>
          <w:rFonts w:cs="Times New Roman"/>
          <w:i/>
          <w:iCs/>
          <w:color w:val="000000"/>
          <w:szCs w:val="24"/>
        </w:rPr>
        <w:t>Town of Gilbert</w:t>
      </w:r>
      <w:r w:rsidRPr="00B96CAA">
        <w:rPr>
          <w:rFonts w:cs="Times New Roman"/>
          <w:color w:val="000000"/>
          <w:szCs w:val="24"/>
        </w:rPr>
        <w:t xml:space="preserve"> (2015). As a general matter, such laws “are presumptively unconstitutional and may be justified only if the government proves that they are narrowly tailored to serve compelling state interests.” … </w:t>
      </w:r>
    </w:p>
    <w:p w14:paraId="0D142497"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The licensed notice is a content-based regulation of speech. By compelling individuals to speak a particular message, such notices “</w:t>
      </w:r>
      <w:proofErr w:type="spellStart"/>
      <w:r w:rsidRPr="00B96CAA">
        <w:rPr>
          <w:rFonts w:cs="Times New Roman"/>
          <w:color w:val="000000"/>
          <w:szCs w:val="24"/>
        </w:rPr>
        <w:t>alte</w:t>
      </w:r>
      <w:proofErr w:type="spellEnd"/>
      <w:r w:rsidRPr="00B96CAA">
        <w:rPr>
          <w:rFonts w:cs="Times New Roman"/>
          <w:color w:val="000000"/>
          <w:szCs w:val="24"/>
        </w:rPr>
        <w:t xml:space="preserve">[r] the content of [their] speech.” </w:t>
      </w:r>
      <w:r w:rsidRPr="00B96CAA">
        <w:rPr>
          <w:rFonts w:cs="Times New Roman"/>
          <w:i/>
          <w:iCs/>
          <w:color w:val="000000"/>
          <w:szCs w:val="24"/>
        </w:rPr>
        <w:t xml:space="preserve">Riley </w:t>
      </w:r>
      <w:r w:rsidRPr="00B96CAA">
        <w:rPr>
          <w:rFonts w:cs="Times New Roman"/>
          <w:color w:val="000000"/>
          <w:szCs w:val="24"/>
        </w:rPr>
        <w:t xml:space="preserve">v. </w:t>
      </w:r>
      <w:r w:rsidRPr="00B96CAA">
        <w:rPr>
          <w:rFonts w:cs="Times New Roman"/>
          <w:i/>
          <w:iCs/>
          <w:color w:val="000000"/>
          <w:szCs w:val="24"/>
        </w:rPr>
        <w:t>National Federation of Blind of N. C., Inc.</w:t>
      </w:r>
      <w:r w:rsidRPr="00B96CAA">
        <w:rPr>
          <w:rFonts w:cs="Times New Roman"/>
          <w:color w:val="000000"/>
          <w:szCs w:val="24"/>
        </w:rPr>
        <w:t xml:space="preserve"> (1988). Here, for example, licensed clinics must provide a government-drafted script about the availability of state-sponsored services, as well as contact information for how to obtain them. One of those services is abortion—the very practice that petitioners are devoted to opposing….</w:t>
      </w:r>
    </w:p>
    <w:p w14:paraId="58CC6D6D"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II-B. Although the licensed notice is content based, the Ninth Circuit did not apply strict scrutiny because it concluded that the notice regulates “professional speech.” Some Courts of Appeals have recognized “professional speech” as a separate category of speech that is subject to different rules…. But this Court has not recognized “professional speech” as a separate category of speech…. This Court’s precedents do not permit governments to impose content-based restrictions on speech without “‘persuasive evidence ... of a long (if heretofore unrecognized) tradition’” to that effect….</w:t>
      </w:r>
    </w:p>
    <w:p w14:paraId="358ECDC2"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This Court’s precedents do not recognize such a tradition for a category called “professional speech.” This Court has afforded less protection for professional speech in two circumstances—neither of which turned on the fact that professionals were speaking. First, our precedents have applied more deferential review to some laws that require professionals to disclose factual, noncontroversial information in their “commercial speech.” See, </w:t>
      </w:r>
      <w:r w:rsidRPr="00B96CAA">
        <w:rPr>
          <w:rFonts w:cs="Times New Roman"/>
          <w:i/>
          <w:iCs/>
          <w:color w:val="000000"/>
          <w:szCs w:val="24"/>
        </w:rPr>
        <w:t xml:space="preserve">e.g., </w:t>
      </w:r>
      <w:proofErr w:type="spellStart"/>
      <w:r w:rsidRPr="00B96CAA">
        <w:rPr>
          <w:rFonts w:cs="Times New Roman"/>
          <w:i/>
          <w:iCs/>
          <w:color w:val="000000"/>
          <w:szCs w:val="24"/>
        </w:rPr>
        <w:t>Zauderer</w:t>
      </w:r>
      <w:proofErr w:type="spellEnd"/>
      <w:r w:rsidRPr="00B96CAA">
        <w:rPr>
          <w:rFonts w:cs="Times New Roman"/>
          <w:i/>
          <w:iCs/>
          <w:color w:val="000000"/>
          <w:szCs w:val="24"/>
        </w:rPr>
        <w:t xml:space="preserve"> </w:t>
      </w:r>
      <w:r w:rsidRPr="00B96CAA">
        <w:rPr>
          <w:rFonts w:cs="Times New Roman"/>
          <w:color w:val="000000"/>
          <w:szCs w:val="24"/>
        </w:rPr>
        <w:t xml:space="preserve">v. </w:t>
      </w:r>
      <w:r w:rsidRPr="00B96CAA">
        <w:rPr>
          <w:rFonts w:cs="Times New Roman"/>
          <w:i/>
          <w:iCs/>
          <w:color w:val="000000"/>
          <w:szCs w:val="24"/>
        </w:rPr>
        <w:t>Office of Disciplinary Counsel of Supreme Court of Ohio</w:t>
      </w:r>
      <w:r w:rsidRPr="00B96CAA">
        <w:rPr>
          <w:rFonts w:cs="Times New Roman"/>
          <w:color w:val="000000"/>
          <w:szCs w:val="24"/>
        </w:rPr>
        <w:t xml:space="preserve"> (1985). Second, under our precedents, States may regulate professional conduct, even though that conduct incidentally involves speech. See, </w:t>
      </w:r>
      <w:r w:rsidRPr="00B96CAA">
        <w:rPr>
          <w:rFonts w:cs="Times New Roman"/>
          <w:i/>
          <w:iCs/>
          <w:color w:val="000000"/>
          <w:szCs w:val="24"/>
        </w:rPr>
        <w:t xml:space="preserve">e.g., Planned Parenthood of Southeastern Pa. </w:t>
      </w:r>
      <w:r w:rsidRPr="00B96CAA">
        <w:rPr>
          <w:rFonts w:cs="Times New Roman"/>
          <w:color w:val="000000"/>
          <w:szCs w:val="24"/>
        </w:rPr>
        <w:t xml:space="preserve">v. </w:t>
      </w:r>
      <w:r w:rsidRPr="00B96CAA">
        <w:rPr>
          <w:rFonts w:cs="Times New Roman"/>
          <w:i/>
          <w:iCs/>
          <w:color w:val="000000"/>
          <w:szCs w:val="24"/>
        </w:rPr>
        <w:t>Casey</w:t>
      </w:r>
      <w:r w:rsidRPr="00B96CAA">
        <w:rPr>
          <w:rFonts w:cs="Times New Roman"/>
          <w:color w:val="000000"/>
          <w:szCs w:val="24"/>
        </w:rPr>
        <w:t xml:space="preserve"> (1992) (opinion of O’Connor, Kennedy, and Souter, JJ.). But neither line of precedents is implicated here. </w:t>
      </w:r>
    </w:p>
    <w:p w14:paraId="4278592D"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II-B-1. This Court’s precedents have applied a lower level of scrutiny to laws that compel disclosures in certain contexts. In </w:t>
      </w:r>
      <w:proofErr w:type="spellStart"/>
      <w:r w:rsidRPr="00B96CAA">
        <w:rPr>
          <w:rFonts w:cs="Times New Roman"/>
          <w:i/>
          <w:iCs/>
          <w:color w:val="000000"/>
          <w:szCs w:val="24"/>
        </w:rPr>
        <w:t>Zauderer</w:t>
      </w:r>
      <w:proofErr w:type="spellEnd"/>
      <w:r w:rsidRPr="00B96CAA">
        <w:rPr>
          <w:rFonts w:cs="Times New Roman"/>
          <w:color w:val="000000"/>
          <w:szCs w:val="24"/>
        </w:rPr>
        <w:t xml:space="preserve">, for example, this Court upheld a rule requiring lawyers who advertised their services on a contingency-fee basis to disclose that clients might be required to pay some fees and costs. Noting that the disclosure requirement governed only “commercial </w:t>
      </w:r>
      <w:r w:rsidRPr="00B96CAA">
        <w:rPr>
          <w:rFonts w:cs="Times New Roman"/>
          <w:color w:val="000000"/>
          <w:szCs w:val="24"/>
        </w:rPr>
        <w:lastRenderedPageBreak/>
        <w:t>advertising” and required the disclosure of “purely factual and uncontroversial information about the terms under which ... services will be available,” the Court explained that such requirements should be upheld unless they are “unjustified or unduly burdensome.”</w:t>
      </w:r>
    </w:p>
    <w:p w14:paraId="1E01FB0D"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The </w:t>
      </w:r>
      <w:proofErr w:type="spellStart"/>
      <w:r w:rsidRPr="00B96CAA">
        <w:rPr>
          <w:rFonts w:cs="Times New Roman"/>
          <w:i/>
          <w:iCs/>
          <w:color w:val="000000"/>
          <w:szCs w:val="24"/>
        </w:rPr>
        <w:t>Zauderer</w:t>
      </w:r>
      <w:proofErr w:type="spellEnd"/>
      <w:r w:rsidRPr="00B96CAA">
        <w:rPr>
          <w:rFonts w:cs="Times New Roman"/>
          <w:i/>
          <w:iCs/>
          <w:color w:val="000000"/>
          <w:szCs w:val="24"/>
        </w:rPr>
        <w:t xml:space="preserve"> </w:t>
      </w:r>
      <w:r w:rsidRPr="00B96CAA">
        <w:rPr>
          <w:rFonts w:cs="Times New Roman"/>
          <w:color w:val="000000"/>
          <w:szCs w:val="24"/>
        </w:rPr>
        <w:t xml:space="preserve">standard does not apply here. Most obviously, the licensed notice is not limited to “purely factual and uncontroversial information about the terms under which ... services will be available.” The notice in no way relates to the services that licensed clinics provide. Instead, it requires these clinics to disclose information about </w:t>
      </w:r>
      <w:r w:rsidRPr="00B96CAA">
        <w:rPr>
          <w:rFonts w:cs="Times New Roman"/>
          <w:i/>
          <w:iCs/>
          <w:color w:val="000000"/>
          <w:szCs w:val="24"/>
        </w:rPr>
        <w:t>state</w:t>
      </w:r>
      <w:r w:rsidRPr="00B96CAA">
        <w:rPr>
          <w:rFonts w:cs="Times New Roman"/>
          <w:color w:val="000000"/>
          <w:szCs w:val="24"/>
        </w:rPr>
        <w:t xml:space="preserve">-sponsored services—including abortion, anything but an “uncontroversial” topic. Accordingly, </w:t>
      </w:r>
      <w:proofErr w:type="spellStart"/>
      <w:r w:rsidRPr="00B96CAA">
        <w:rPr>
          <w:rFonts w:cs="Times New Roman"/>
          <w:i/>
          <w:iCs/>
          <w:color w:val="000000"/>
          <w:szCs w:val="24"/>
        </w:rPr>
        <w:t>Zauderer</w:t>
      </w:r>
      <w:proofErr w:type="spellEnd"/>
      <w:r w:rsidRPr="00B96CAA">
        <w:rPr>
          <w:rFonts w:cs="Times New Roman"/>
          <w:i/>
          <w:iCs/>
          <w:color w:val="000000"/>
          <w:szCs w:val="24"/>
        </w:rPr>
        <w:t xml:space="preserve"> </w:t>
      </w:r>
      <w:r w:rsidRPr="00B96CAA">
        <w:rPr>
          <w:rFonts w:cs="Times New Roman"/>
          <w:color w:val="000000"/>
          <w:szCs w:val="24"/>
        </w:rPr>
        <w:t xml:space="preserve">has no application here. </w:t>
      </w:r>
    </w:p>
    <w:p w14:paraId="4D08E42F"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II-B-2. In addition to disclosure requirements under </w:t>
      </w:r>
      <w:proofErr w:type="spellStart"/>
      <w:r w:rsidRPr="00B96CAA">
        <w:rPr>
          <w:rFonts w:cs="Times New Roman"/>
          <w:i/>
          <w:iCs/>
          <w:color w:val="000000"/>
          <w:szCs w:val="24"/>
        </w:rPr>
        <w:t>Zauderer</w:t>
      </w:r>
      <w:proofErr w:type="spellEnd"/>
      <w:r w:rsidRPr="00B96CAA">
        <w:rPr>
          <w:rFonts w:cs="Times New Roman"/>
          <w:color w:val="000000"/>
          <w:szCs w:val="24"/>
        </w:rPr>
        <w:t xml:space="preserve">, this Court has upheld regulations of professional conduct that incidentally burden speech… In </w:t>
      </w:r>
      <w:r w:rsidRPr="00B96CAA">
        <w:rPr>
          <w:rFonts w:cs="Times New Roman"/>
          <w:i/>
          <w:iCs/>
          <w:color w:val="000000"/>
          <w:szCs w:val="24"/>
        </w:rPr>
        <w:t xml:space="preserve">Planned Parenthood of Southeastern Pa. </w:t>
      </w:r>
      <w:r w:rsidRPr="00B96CAA">
        <w:rPr>
          <w:rFonts w:cs="Times New Roman"/>
          <w:color w:val="000000"/>
          <w:szCs w:val="24"/>
        </w:rPr>
        <w:t xml:space="preserve">v. </w:t>
      </w:r>
      <w:r w:rsidRPr="00B96CAA">
        <w:rPr>
          <w:rFonts w:cs="Times New Roman"/>
          <w:i/>
          <w:iCs/>
          <w:color w:val="000000"/>
          <w:szCs w:val="24"/>
        </w:rPr>
        <w:t>Casey</w:t>
      </w:r>
      <w:r w:rsidRPr="00B96CAA">
        <w:rPr>
          <w:rFonts w:cs="Times New Roman"/>
          <w:color w:val="000000"/>
          <w:szCs w:val="24"/>
        </w:rPr>
        <w:t xml:space="preserve">, for example, this Court upheld a law requiring physicians to obtain informed consent before they could perform an abortion…. The joint opinion in </w:t>
      </w:r>
      <w:r w:rsidRPr="00B96CAA">
        <w:rPr>
          <w:rFonts w:cs="Times New Roman"/>
          <w:i/>
          <w:iCs/>
          <w:color w:val="000000"/>
          <w:szCs w:val="24"/>
        </w:rPr>
        <w:t>Casey …</w:t>
      </w:r>
      <w:r w:rsidRPr="00B96CAA">
        <w:rPr>
          <w:rFonts w:cs="Times New Roman"/>
          <w:color w:val="000000"/>
          <w:szCs w:val="24"/>
        </w:rPr>
        <w:t xml:space="preserve"> described the Pennsylvania law as “a requirement that a doctor give a woman certain information as part of obtaining her consent to an abortion,” which “for constitutional purposes, [was] no different from a requirement that a doctor give certain specific information about any medical procedure.” …</w:t>
      </w:r>
    </w:p>
    <w:p w14:paraId="6926BD55"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The licensed notice at issue here is not an informed-consent requirement or any other regulation of professional conduct. The notice does not facilitate informed consent to a medical procedure. In fact, it is not tied to a procedure at all.… Tellingly, many facilities that provide the exact same services as covered facilities … are not required to provide the licensed notice. The licensed notice regulates speech as speech. </w:t>
      </w:r>
    </w:p>
    <w:p w14:paraId="0E3A530E"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II-B-3. Outside of the two contexts discussed above … this Court’s precedents have long protected the First Amendment rights of professionals…. </w:t>
      </w:r>
    </w:p>
    <w:p w14:paraId="6E90E626"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As with other kinds of speech, regulating the content of professionals’ speech “pose[s] the inherent risk that the Government seeks not to advance a legitimate regulatory goal, but to suppress unpopular ideas or information.” </w:t>
      </w:r>
      <w:r w:rsidRPr="00B96CAA">
        <w:rPr>
          <w:rFonts w:cs="Times New Roman"/>
          <w:i/>
          <w:iCs/>
          <w:color w:val="000000"/>
          <w:szCs w:val="24"/>
        </w:rPr>
        <w:t xml:space="preserve">Turner Broadcasting Sys. v. FCC </w:t>
      </w:r>
      <w:r w:rsidRPr="00B96CAA">
        <w:rPr>
          <w:rFonts w:cs="Times New Roman"/>
          <w:iCs/>
          <w:color w:val="000000"/>
          <w:szCs w:val="24"/>
        </w:rPr>
        <w:t>(1994)</w:t>
      </w:r>
      <w:r w:rsidRPr="00B96CAA">
        <w:rPr>
          <w:rFonts w:cs="Times New Roman"/>
          <w:color w:val="000000"/>
          <w:szCs w:val="24"/>
        </w:rPr>
        <w:t xml:space="preserve">…. Further, when the government polices the content of professional speech, it can fail to “‘preserve an uninhibited marketplace of ideas in which truth will ultimately prevail.’” </w:t>
      </w:r>
      <w:proofErr w:type="spellStart"/>
      <w:r w:rsidRPr="00B96CAA">
        <w:rPr>
          <w:rFonts w:cs="Times New Roman"/>
          <w:i/>
          <w:iCs/>
          <w:color w:val="000000"/>
          <w:szCs w:val="24"/>
        </w:rPr>
        <w:t>McCullen</w:t>
      </w:r>
      <w:proofErr w:type="spellEnd"/>
      <w:r w:rsidRPr="00B96CAA">
        <w:rPr>
          <w:rFonts w:cs="Times New Roman"/>
          <w:i/>
          <w:iCs/>
          <w:color w:val="000000"/>
          <w:szCs w:val="24"/>
        </w:rPr>
        <w:t xml:space="preserve"> </w:t>
      </w:r>
      <w:r w:rsidRPr="00B96CAA">
        <w:rPr>
          <w:rFonts w:cs="Times New Roman"/>
          <w:color w:val="000000"/>
          <w:szCs w:val="24"/>
        </w:rPr>
        <w:t xml:space="preserve">v. </w:t>
      </w:r>
      <w:r w:rsidRPr="00B96CAA">
        <w:rPr>
          <w:rFonts w:cs="Times New Roman"/>
          <w:i/>
          <w:iCs/>
          <w:color w:val="000000"/>
          <w:szCs w:val="24"/>
        </w:rPr>
        <w:t>Coakley</w:t>
      </w:r>
      <w:r w:rsidRPr="00B96CAA">
        <w:rPr>
          <w:rFonts w:cs="Times New Roman"/>
          <w:color w:val="000000"/>
          <w:szCs w:val="24"/>
        </w:rPr>
        <w:t xml:space="preserve"> (2014)….</w:t>
      </w:r>
    </w:p>
    <w:p w14:paraId="47DA2422"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“Professional speech” is also a difficult category to define with precision…. As defined by the courts of appeals, the professional-speech doctrine would cover a wide array of individuals—doctors, lawyers, nurses, physical therapists, truck drivers, bartenders, barbers, and many others…. But that gives the States unfettered power to reduce a group’s First Amendment rights by simply imposing a licensing requirement….</w:t>
      </w:r>
    </w:p>
    <w:p w14:paraId="16A90E96"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II-C. In sum, neither California nor the Ninth Circuit has identified a persuasive reason for treating professional speech as a unique category that is exempt from ordinary First Amendment principles….</w:t>
      </w:r>
    </w:p>
    <w:p w14:paraId="6EA148FC"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lastRenderedPageBreak/>
        <w:t xml:space="preserve">California asserts a single interest to justify the licensed notice: providing low-income women with information about state-sponsored services. Assuming that this is a substantial state interest, the licensed notice is not sufficiently drawn to achieve it. </w:t>
      </w:r>
    </w:p>
    <w:p w14:paraId="3C79EA1A"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If California’s goal is to educate low-income women about the services it provides, then the licensed notice is “wildly underinclusive.” </w:t>
      </w:r>
      <w:r w:rsidRPr="00B96CAA">
        <w:rPr>
          <w:rFonts w:cs="Times New Roman"/>
          <w:i/>
          <w:color w:val="000000"/>
          <w:szCs w:val="24"/>
        </w:rPr>
        <w:t xml:space="preserve">Brown v. </w:t>
      </w:r>
      <w:r w:rsidRPr="00B96CAA">
        <w:rPr>
          <w:rFonts w:cs="Times New Roman"/>
          <w:i/>
          <w:iCs/>
          <w:color w:val="000000"/>
          <w:szCs w:val="24"/>
        </w:rPr>
        <w:t>Entertainment Merchants Assn.</w:t>
      </w:r>
      <w:r w:rsidRPr="00B96CAA">
        <w:rPr>
          <w:rFonts w:cs="Times New Roman"/>
          <w:color w:val="000000"/>
          <w:szCs w:val="24"/>
        </w:rPr>
        <w:t xml:space="preserve"> (2011). The notice applies only to clinics that have a “primary purpose” of “providing family planning or pregnancy-related services” and that provide two of six categories of specific services. Other clinics that have another primary purpose, or that provide only one category of those services, also serve low-income women and could educate them about the State’s services…. But most of those clinics are excluded from the licensed notice requirement without explanation….</w:t>
      </w:r>
    </w:p>
    <w:p w14:paraId="2C16B958"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Further, California could inform low-income women about its services “without burdening a speaker with unwanted speech.” </w:t>
      </w:r>
      <w:r w:rsidRPr="00B96CAA">
        <w:rPr>
          <w:rFonts w:cs="Times New Roman"/>
          <w:i/>
          <w:iCs/>
          <w:color w:val="000000"/>
          <w:szCs w:val="24"/>
        </w:rPr>
        <w:t xml:space="preserve">Riley </w:t>
      </w:r>
      <w:r w:rsidRPr="00B96CAA">
        <w:rPr>
          <w:rFonts w:cs="Times New Roman"/>
          <w:color w:val="000000"/>
          <w:szCs w:val="24"/>
        </w:rPr>
        <w:t xml:space="preserve">v. </w:t>
      </w:r>
      <w:r w:rsidRPr="00B96CAA">
        <w:rPr>
          <w:rFonts w:cs="Times New Roman"/>
          <w:i/>
          <w:iCs/>
          <w:color w:val="000000"/>
          <w:szCs w:val="24"/>
        </w:rPr>
        <w:t>National Federation of Blind of N. C., Inc.</w:t>
      </w:r>
      <w:r w:rsidRPr="00B96CAA">
        <w:rPr>
          <w:rFonts w:cs="Times New Roman"/>
          <w:color w:val="000000"/>
          <w:szCs w:val="24"/>
        </w:rPr>
        <w:t xml:space="preserve"> (1988). Most obviously, it could inform the women itself with a public-information campaign….</w:t>
      </w:r>
    </w:p>
    <w:p w14:paraId="7ED12CE5"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In short, petitioners are likely to succeed on the merits of their challenge to the licensed notice. Contrary to the suggestion in the dissent, </w:t>
      </w:r>
      <w:r w:rsidRPr="00B96CAA">
        <w:rPr>
          <w:rFonts w:cs="Times New Roman"/>
          <w:i/>
          <w:iCs/>
          <w:color w:val="000000"/>
          <w:szCs w:val="24"/>
        </w:rPr>
        <w:t>post</w:t>
      </w:r>
      <w:r w:rsidRPr="00B96CAA">
        <w:rPr>
          <w:rFonts w:cs="Times New Roman"/>
          <w:color w:val="000000"/>
          <w:szCs w:val="24"/>
        </w:rPr>
        <w:t xml:space="preserve"> (opinion of BREYER, J.), we do not question the legality of health and safety warnings long considered permissible, or purely factual and uncontroversial disclosures about commercial products. </w:t>
      </w:r>
    </w:p>
    <w:p w14:paraId="39B45BC8"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III. We next address the unlicensed notice. The parties dispute whether the unlicensed notice is subject to deferential review under </w:t>
      </w:r>
      <w:proofErr w:type="spellStart"/>
      <w:r w:rsidRPr="00B96CAA">
        <w:rPr>
          <w:rFonts w:cs="Times New Roman"/>
          <w:i/>
          <w:iCs/>
          <w:color w:val="000000"/>
          <w:szCs w:val="24"/>
        </w:rPr>
        <w:t>Zauderer</w:t>
      </w:r>
      <w:proofErr w:type="spellEnd"/>
      <w:r w:rsidRPr="00B96CAA">
        <w:rPr>
          <w:rFonts w:cs="Times New Roman"/>
          <w:color w:val="000000"/>
          <w:szCs w:val="24"/>
        </w:rPr>
        <w:t>.</w:t>
      </w:r>
      <w:r w:rsidRPr="00B96CAA">
        <w:rPr>
          <w:rFonts w:cs="Times New Roman"/>
          <w:color w:val="000000"/>
          <w:position w:val="8"/>
          <w:szCs w:val="24"/>
        </w:rPr>
        <w:t xml:space="preserve"> </w:t>
      </w:r>
      <w:r w:rsidRPr="00B96CAA">
        <w:rPr>
          <w:rFonts w:cs="Times New Roman"/>
          <w:color w:val="000000"/>
          <w:szCs w:val="24"/>
        </w:rPr>
        <w:t xml:space="preserve">We need not decide whether the </w:t>
      </w:r>
      <w:proofErr w:type="spellStart"/>
      <w:r w:rsidRPr="00B96CAA">
        <w:rPr>
          <w:rFonts w:cs="Times New Roman"/>
          <w:i/>
          <w:iCs/>
          <w:color w:val="000000"/>
          <w:szCs w:val="24"/>
        </w:rPr>
        <w:t>Zauderer</w:t>
      </w:r>
      <w:proofErr w:type="spellEnd"/>
      <w:r w:rsidRPr="00B96CAA">
        <w:rPr>
          <w:rFonts w:cs="Times New Roman"/>
          <w:i/>
          <w:iCs/>
          <w:color w:val="000000"/>
          <w:szCs w:val="24"/>
        </w:rPr>
        <w:t xml:space="preserve"> </w:t>
      </w:r>
      <w:r w:rsidRPr="00B96CAA">
        <w:rPr>
          <w:rFonts w:cs="Times New Roman"/>
          <w:color w:val="000000"/>
          <w:szCs w:val="24"/>
        </w:rPr>
        <w:t xml:space="preserve">standard applies to the unlicensed notice. Even under </w:t>
      </w:r>
      <w:proofErr w:type="spellStart"/>
      <w:r w:rsidRPr="00B96CAA">
        <w:rPr>
          <w:rFonts w:cs="Times New Roman"/>
          <w:i/>
          <w:iCs/>
          <w:color w:val="000000"/>
          <w:szCs w:val="24"/>
        </w:rPr>
        <w:t>Zauderer</w:t>
      </w:r>
      <w:proofErr w:type="spellEnd"/>
      <w:r w:rsidRPr="00B96CAA">
        <w:rPr>
          <w:rFonts w:cs="Times New Roman"/>
          <w:color w:val="000000"/>
          <w:szCs w:val="24"/>
        </w:rPr>
        <w:t xml:space="preserve">, a disclosure requirement cannot be “unjustified or unduly burdensome.” Our precedents require disclosures to remedy a harm that is “potentially real not purely hypothetical,” </w:t>
      </w:r>
      <w:r w:rsidRPr="00B96CAA">
        <w:rPr>
          <w:rFonts w:cs="Times New Roman"/>
          <w:i/>
          <w:iCs/>
          <w:color w:val="000000"/>
          <w:szCs w:val="24"/>
        </w:rPr>
        <w:t xml:space="preserve">Ibanez </w:t>
      </w:r>
      <w:r w:rsidRPr="00B96CAA">
        <w:rPr>
          <w:rFonts w:cs="Times New Roman"/>
          <w:color w:val="000000"/>
          <w:szCs w:val="24"/>
        </w:rPr>
        <w:t xml:space="preserve">v. </w:t>
      </w:r>
      <w:r w:rsidRPr="00B96CAA">
        <w:rPr>
          <w:rFonts w:cs="Times New Roman"/>
          <w:i/>
          <w:iCs/>
          <w:color w:val="000000"/>
          <w:szCs w:val="24"/>
        </w:rPr>
        <w:t>Florida Dept. of Business and Professional Regulation, Bd. of Accountancy</w:t>
      </w:r>
      <w:r w:rsidRPr="00B96CAA">
        <w:rPr>
          <w:rFonts w:cs="Times New Roman"/>
          <w:color w:val="000000"/>
          <w:szCs w:val="24"/>
        </w:rPr>
        <w:t xml:space="preserve"> (1994)….</w:t>
      </w:r>
    </w:p>
    <w:p w14:paraId="5731D49B"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The only justification that the California Legislature put forward was ensuring that “pregnant women in California know when they are getting medical care from licensed professionals.” [However,] California points to nothing suggesting that pregnant women do not already know that the covered facilities are staffed by unlicensed medical professionals….</w:t>
      </w:r>
    </w:p>
    <w:p w14:paraId="2DB62D0E"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Even if California had presented a </w:t>
      </w:r>
      <w:proofErr w:type="spellStart"/>
      <w:r w:rsidRPr="00B96CAA">
        <w:rPr>
          <w:rFonts w:cs="Times New Roman"/>
          <w:color w:val="000000"/>
          <w:szCs w:val="24"/>
        </w:rPr>
        <w:t>nonhypothetical</w:t>
      </w:r>
      <w:proofErr w:type="spellEnd"/>
      <w:r w:rsidRPr="00B96CAA">
        <w:rPr>
          <w:rFonts w:cs="Times New Roman"/>
          <w:color w:val="000000"/>
          <w:szCs w:val="24"/>
        </w:rPr>
        <w:t xml:space="preserve"> justification for the unlicensed notice, the FACT Act unduly burdens protected speech. The unlicensed notice imposes a government-scripted, speaker-based disclosure requirement that is wholly disconnected from California’s informational interest…. The unlicensed notice applies only to facilities that primarily provide “pregnancy-related” services. Thus, a facility that advertises and provides pregnancy tests is covered by the unlicensed notice, but a facility across the street that advertises and provides nonprescription contraceptives is excluded—even though the latter is no less likely to make women think it is licensed….</w:t>
      </w:r>
    </w:p>
    <w:p w14:paraId="40EB3765"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lastRenderedPageBreak/>
        <w:t xml:space="preserve">The application of the unlicensed notice to advertisements demonstrates just how burdensome it is. The notice applies to all “print and digital advertising materials” by an unlicensed covered facility…. As California conceded at oral argument, a billboard for an unlicensed facility that says “Choose Life” would have to surround that two-word statement with a 29-word statement from the government, in as many as 13 different languages. In this way, the unlicensed notice drowns out the facility’s own message…. </w:t>
      </w:r>
    </w:p>
    <w:p w14:paraId="1AB8F835"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For all these reasons, the unlicensed notice does not satisfy </w:t>
      </w:r>
      <w:proofErr w:type="spellStart"/>
      <w:r w:rsidRPr="00B96CAA">
        <w:rPr>
          <w:rFonts w:cs="Times New Roman"/>
          <w:i/>
          <w:iCs/>
          <w:color w:val="000000"/>
          <w:szCs w:val="24"/>
        </w:rPr>
        <w:t>Zauderer</w:t>
      </w:r>
      <w:proofErr w:type="spellEnd"/>
      <w:r w:rsidRPr="00B96CAA">
        <w:rPr>
          <w:rFonts w:cs="Times New Roman"/>
          <w:color w:val="000000"/>
          <w:szCs w:val="24"/>
        </w:rPr>
        <w:t>, assuming that standard applies….</w:t>
      </w:r>
    </w:p>
    <w:p w14:paraId="4516CCEA"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IV. We hold that petitioners are likely to succeed on the merits of their claim that the FACT Act violates the First Amendment. We reverse the judgment of the Court of Appeals and remand the case for further proceedings consistent with this opinion. </w:t>
      </w:r>
    </w:p>
    <w:p w14:paraId="16C007AD"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i/>
          <w:iCs/>
          <w:color w:val="000000"/>
          <w:szCs w:val="24"/>
        </w:rPr>
        <w:t xml:space="preserve">It is so ordered. </w:t>
      </w:r>
    </w:p>
    <w:p w14:paraId="5FF32314" w14:textId="77777777" w:rsidR="00675288" w:rsidRPr="00B96CAA" w:rsidRDefault="00675288" w:rsidP="00675288">
      <w:pPr>
        <w:widowControl w:val="0"/>
        <w:autoSpaceDE w:val="0"/>
        <w:autoSpaceDN w:val="0"/>
        <w:adjustRightInd w:val="0"/>
        <w:spacing w:after="240"/>
        <w:ind w:firstLine="720"/>
        <w:jc w:val="both"/>
        <w:rPr>
          <w:rFonts w:cs="Times New Roman"/>
          <w:b/>
          <w:color w:val="000000"/>
          <w:szCs w:val="24"/>
        </w:rPr>
      </w:pPr>
      <w:r w:rsidRPr="00B96CAA">
        <w:rPr>
          <w:rFonts w:cs="Times New Roman"/>
          <w:b/>
          <w:color w:val="000000"/>
          <w:szCs w:val="24"/>
        </w:rPr>
        <w:t xml:space="preserve">Justice Kennedy, with whom the Chief Justice, Justice Alito, and Justice Gorsuch join, concurring. </w:t>
      </w:r>
    </w:p>
    <w:p w14:paraId="0D95AF0E"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[Justice Kennedy commented that, although the Court did not reach the issue, in his view there was strong evidence of viewpoint discrimination.]</w:t>
      </w:r>
    </w:p>
    <w:p w14:paraId="42695812" w14:textId="77777777" w:rsidR="00675288" w:rsidRPr="00B96CAA" w:rsidRDefault="00675288" w:rsidP="00675288">
      <w:pPr>
        <w:widowControl w:val="0"/>
        <w:autoSpaceDE w:val="0"/>
        <w:autoSpaceDN w:val="0"/>
        <w:adjustRightInd w:val="0"/>
        <w:spacing w:after="240"/>
        <w:ind w:firstLine="720"/>
        <w:jc w:val="both"/>
        <w:rPr>
          <w:rFonts w:cs="Times New Roman"/>
          <w:b/>
          <w:color w:val="000000"/>
          <w:szCs w:val="24"/>
        </w:rPr>
      </w:pPr>
      <w:r w:rsidRPr="00B96CAA">
        <w:rPr>
          <w:rFonts w:cs="Times New Roman"/>
          <w:b/>
          <w:color w:val="000000"/>
          <w:szCs w:val="24"/>
        </w:rPr>
        <w:t xml:space="preserve">Justice Breyer, with whom Justice Ginsburg, Justice Sotomayor, and Justice Kagan join, dissenting. </w:t>
      </w:r>
    </w:p>
    <w:p w14:paraId="5E6475EA"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The petitioners ask us to consider whether two sections of a California statute violate the First Amendment…. In my view both statutory sections are likely constitutional, and I dissent from the Court’s contrary conclusions. </w:t>
      </w:r>
    </w:p>
    <w:p w14:paraId="4F0C87DF"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I-A. Before turning to the specific law before us, I focus upon the general interpretation of the First Amendment that the majority says it applies. It applies heightened scrutiny to the Act because the Act, in its view, is “content based.” … </w:t>
      </w:r>
    </w:p>
    <w:p w14:paraId="2EC54523"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The majority recognizes exceptions to this general rule: It excepts laws that “require professionals to disclose factual, noncontroversial information in their ‘commercial speech,’” </w:t>
      </w:r>
      <w:r w:rsidRPr="00B96CAA">
        <w:rPr>
          <w:rFonts w:cs="Times New Roman"/>
          <w:i/>
          <w:iCs/>
          <w:color w:val="000000"/>
          <w:szCs w:val="24"/>
        </w:rPr>
        <w:t xml:space="preserve">provided that </w:t>
      </w:r>
      <w:r w:rsidRPr="00B96CAA">
        <w:rPr>
          <w:rFonts w:cs="Times New Roman"/>
          <w:color w:val="000000"/>
          <w:szCs w:val="24"/>
        </w:rPr>
        <w:t xml:space="preserve">the disclosure “relates to the services that [the regulated entities] provide.” It also excepts laws that “regulate professional conduct” </w:t>
      </w:r>
      <w:r w:rsidRPr="00B96CAA">
        <w:rPr>
          <w:rFonts w:cs="Times New Roman"/>
          <w:i/>
          <w:iCs/>
          <w:color w:val="000000"/>
          <w:szCs w:val="24"/>
        </w:rPr>
        <w:t xml:space="preserve">and </w:t>
      </w:r>
      <w:r w:rsidRPr="00B96CAA">
        <w:rPr>
          <w:rFonts w:cs="Times New Roman"/>
          <w:color w:val="000000"/>
          <w:szCs w:val="24"/>
        </w:rPr>
        <w:t>only “incidentally burden speech.”</w:t>
      </w:r>
    </w:p>
    <w:p w14:paraId="60FA225C"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This constitutional approach threatens to create serious problems. Because much, perhaps most, human behavior takes place through speech and because much, perhaps most, law regulates that speech in terms of its content, the majority’s approach at the least threatens considerable litigation over the constitutional validity of much, perhaps most, government regulation. Virtually every disclosure law could be considered “content based,” for virtually every disclosure law </w:t>
      </w:r>
      <w:r w:rsidRPr="00B96CAA">
        <w:rPr>
          <w:rFonts w:cs="Times New Roman"/>
          <w:color w:val="000000"/>
          <w:szCs w:val="24"/>
        </w:rPr>
        <w:lastRenderedPageBreak/>
        <w:t xml:space="preserve">requires individuals “to speak a particular message.” … Thus, the majority’s view, if taken literally, could radically change prior law, perhaps placing much securities law or consumer protection law at constitutional risk, depending on how broadly its exceptions are interpreted. </w:t>
      </w:r>
    </w:p>
    <w:p w14:paraId="77050AAC"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Many ordinary disclosure laws would fall outside the majority’s exceptions for disclosures related to the professional’s own services or conduct. These include numerous commonly found disclosure requirements relating to the medical profession. [Examples include: requiring hospitals to tell parents about child seat belts, to ask incoming patients if they would like the facility to give their family information about parents’ rights and responsibilities, and to tell parents of newborns about pertussis disease and the available vaccine.] These also include numerous disclosure requirements found in other areas [such as requiring signs by elevators showing stair locations, or requiring property owners to inform tenants about garbage disposal procedures.] </w:t>
      </w:r>
    </w:p>
    <w:p w14:paraId="17774DDD"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The majority … perhaps recognizing this problem, adds a general disclaimer. It says that it does not “question the legality of health and safety warnings long considered permissible, or purely factual and uncontroversial disclosures about commercial products.” But this generally phrased disclaimer would seem more likely to invite litigation than to provide needed limitation and clarification…. </w:t>
      </w:r>
    </w:p>
    <w:p w14:paraId="56F2E7FB"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 [I]n saying the Act is not a longstanding health and safety law, the Court substitutes its own approach—without a defining standard—for an approach that was reasonably clear. Historically, the Court has been wary of claims that regulation of business activity, particularly health-related activity, violates the Constitution. Ever since this Court departed from the approach it set forth in </w:t>
      </w:r>
      <w:r w:rsidRPr="00B96CAA">
        <w:rPr>
          <w:rFonts w:cs="Times New Roman"/>
          <w:i/>
          <w:iCs/>
          <w:color w:val="000000"/>
          <w:szCs w:val="24"/>
        </w:rPr>
        <w:t xml:space="preserve">Lochner </w:t>
      </w:r>
      <w:r w:rsidRPr="00B96CAA">
        <w:rPr>
          <w:rFonts w:cs="Times New Roman"/>
          <w:color w:val="000000"/>
          <w:szCs w:val="24"/>
        </w:rPr>
        <w:t xml:space="preserve">v. </w:t>
      </w:r>
      <w:r w:rsidRPr="00B96CAA">
        <w:rPr>
          <w:rFonts w:cs="Times New Roman"/>
          <w:i/>
          <w:iCs/>
          <w:color w:val="000000"/>
          <w:szCs w:val="24"/>
        </w:rPr>
        <w:t>New York</w:t>
      </w:r>
      <w:r w:rsidRPr="00B96CAA">
        <w:rPr>
          <w:rFonts w:cs="Times New Roman"/>
          <w:color w:val="000000"/>
          <w:szCs w:val="24"/>
        </w:rPr>
        <w:t xml:space="preserve"> (1905), ordinary economic and social legislation has been thought to raise little constitutional concern…. The Court has taken this same respectful approach to economic and social legislation when a First Amendment claim like the claim present here is at issue….</w:t>
      </w:r>
    </w:p>
    <w:p w14:paraId="3FBA7A13"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Even during the </w:t>
      </w:r>
      <w:r w:rsidRPr="00B96CAA">
        <w:rPr>
          <w:rFonts w:cs="Times New Roman"/>
          <w:i/>
          <w:iCs/>
          <w:color w:val="000000"/>
          <w:szCs w:val="24"/>
        </w:rPr>
        <w:t xml:space="preserve">Lochner </w:t>
      </w:r>
      <w:r w:rsidRPr="00B96CAA">
        <w:rPr>
          <w:rFonts w:cs="Times New Roman"/>
          <w:color w:val="000000"/>
          <w:szCs w:val="24"/>
        </w:rPr>
        <w:t xml:space="preserve">era, when this Court struck down numerous economic regulations concerning industry, this Court was careful to defer to state legislative judgments concerning the medical profession…. Medical professionals do not, generally speaking, have a right to use the Constitution as a weapon allowing them rigorously to control the content of those reasonable conditions. See, </w:t>
      </w:r>
      <w:r w:rsidRPr="00B96CAA">
        <w:rPr>
          <w:rFonts w:cs="Times New Roman"/>
          <w:i/>
          <w:iCs/>
          <w:color w:val="000000"/>
          <w:szCs w:val="24"/>
        </w:rPr>
        <w:t>e.g.</w:t>
      </w:r>
      <w:r w:rsidRPr="00B96CAA">
        <w:rPr>
          <w:rFonts w:cs="Times New Roman"/>
          <w:color w:val="000000"/>
          <w:szCs w:val="24"/>
        </w:rPr>
        <w:t xml:space="preserve">, </w:t>
      </w:r>
      <w:r w:rsidRPr="00B96CAA">
        <w:rPr>
          <w:rFonts w:cs="Times New Roman"/>
          <w:i/>
          <w:iCs/>
          <w:color w:val="000000"/>
          <w:szCs w:val="24"/>
        </w:rPr>
        <w:t xml:space="preserve">Dent </w:t>
      </w:r>
      <w:r w:rsidRPr="00B96CAA">
        <w:rPr>
          <w:rFonts w:cs="Times New Roman"/>
          <w:color w:val="000000"/>
          <w:szCs w:val="24"/>
        </w:rPr>
        <w:t xml:space="preserve">v. </w:t>
      </w:r>
      <w:r w:rsidRPr="00B96CAA">
        <w:rPr>
          <w:rFonts w:cs="Times New Roman"/>
          <w:i/>
          <w:iCs/>
          <w:color w:val="000000"/>
          <w:szCs w:val="24"/>
        </w:rPr>
        <w:t>West Virginia</w:t>
      </w:r>
      <w:r w:rsidRPr="00B96CAA">
        <w:rPr>
          <w:rFonts w:cs="Times New Roman"/>
          <w:color w:val="000000"/>
          <w:szCs w:val="24"/>
        </w:rPr>
        <w:t xml:space="preserve"> (1889) (upholding medical licensing requirements). In the name of the First Amendment, the majority today treads into territory where the pre-New Deal, as well as the post-New Deal, Court refused to go. </w:t>
      </w:r>
    </w:p>
    <w:p w14:paraId="6FEA0856"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The Court, in justification, refers to widely accepted First Amendment goals, such as the need to protect the Nation from laws that “‘suppress unpopular ideas or information’” or inhibit the “‘marketplace of ideas in which truth will ultimately prevail.’” </w:t>
      </w:r>
      <w:r w:rsidRPr="00B96CAA">
        <w:rPr>
          <w:rFonts w:cs="Times New Roman"/>
          <w:iCs/>
          <w:color w:val="000000"/>
          <w:szCs w:val="24"/>
        </w:rPr>
        <w:t>…</w:t>
      </w:r>
      <w:r w:rsidRPr="00B96CAA">
        <w:rPr>
          <w:rFonts w:cs="Times New Roman"/>
          <w:i/>
          <w:iCs/>
          <w:color w:val="000000"/>
          <w:szCs w:val="24"/>
        </w:rPr>
        <w:t xml:space="preserve"> </w:t>
      </w:r>
      <w:r w:rsidRPr="00B96CAA">
        <w:rPr>
          <w:rFonts w:cs="Times New Roman"/>
          <w:color w:val="000000"/>
          <w:szCs w:val="24"/>
        </w:rPr>
        <w:t xml:space="preserve">And, in suggesting that heightened scrutiny applies to much economic and social legislation, the majority pays those First Amendment goals a serious disservice through dilution. Using the First Amendment to strike down economic and social laws that legislatures long would have thought themselves free to enact will, </w:t>
      </w:r>
      <w:r w:rsidRPr="00B96CAA">
        <w:rPr>
          <w:rFonts w:cs="Times New Roman"/>
          <w:color w:val="000000"/>
          <w:szCs w:val="24"/>
        </w:rPr>
        <w:lastRenderedPageBreak/>
        <w:t xml:space="preserve">for the American public, obscure, not clarify, the true value of protecting freedom of speech. </w:t>
      </w:r>
    </w:p>
    <w:p w14:paraId="004EB87E"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I-B. Still, what about this specific case? The disclosure at issue here concerns speech related to abortion. It involves health, differing moral values, and differing points of view. Thus, rather than set forth broad, new, First Amendment principles, I believe that we should focus more directly upon precedent more closely related to the case at hand….</w:t>
      </w:r>
    </w:p>
    <w:p w14:paraId="670866F4"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 begin with </w:t>
      </w:r>
      <w:r w:rsidRPr="00B96CAA">
        <w:rPr>
          <w:rFonts w:cs="Times New Roman"/>
          <w:i/>
          <w:iCs/>
          <w:color w:val="000000"/>
          <w:szCs w:val="24"/>
        </w:rPr>
        <w:t xml:space="preserve">Akron </w:t>
      </w:r>
      <w:r w:rsidRPr="00B96CAA">
        <w:rPr>
          <w:rFonts w:cs="Times New Roman"/>
          <w:color w:val="000000"/>
          <w:szCs w:val="24"/>
        </w:rPr>
        <w:t xml:space="preserve">v. </w:t>
      </w:r>
      <w:r w:rsidRPr="00B96CAA">
        <w:rPr>
          <w:rFonts w:cs="Times New Roman"/>
          <w:i/>
          <w:iCs/>
          <w:color w:val="000000"/>
          <w:szCs w:val="24"/>
        </w:rPr>
        <w:t>Akron Center for Reproductive Health, Inc.</w:t>
      </w:r>
      <w:r w:rsidRPr="00B96CAA">
        <w:rPr>
          <w:rFonts w:cs="Times New Roman"/>
          <w:color w:val="000000"/>
          <w:szCs w:val="24"/>
        </w:rPr>
        <w:t xml:space="preserve"> (1983). In that case the Court considered a city ordinance requiring a doctor to tell a woman contemplating an abortion about the “status of her pregnancy, the development of her fetus, the date of possible viability, the physical and emotional complications that may result from an abortion, and the availability of agencies to provide her with assistance and information with respect to birth control, adoption, and childbirth[, and] ... ‘the particular risks associated with her own pregnancy and the abortion technique to be employed.’” … The ordinance further required a doctor to tell such a woman that “‘the unborn child is a human life from the moment of conception.’” </w:t>
      </w:r>
    </w:p>
    <w:p w14:paraId="48628CC9"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The plaintiffs claimed that this ordinance violated a woman’s constitutional right to obtain an abortion. And this Court agreed…. [T]he Court held that the law at issue went “beyond permissible limits” because “much of the information required [was] designed not to inform the woman’s consent but rather to persuade her to withhold it altogether.” … Several years later, in </w:t>
      </w:r>
      <w:r w:rsidRPr="00B96CAA">
        <w:rPr>
          <w:rFonts w:cs="Times New Roman"/>
          <w:i/>
          <w:iCs/>
          <w:color w:val="000000"/>
          <w:szCs w:val="24"/>
        </w:rPr>
        <w:t xml:space="preserve">Thornburgh </w:t>
      </w:r>
      <w:r w:rsidRPr="00B96CAA">
        <w:rPr>
          <w:rFonts w:cs="Times New Roman"/>
          <w:color w:val="000000"/>
          <w:szCs w:val="24"/>
        </w:rPr>
        <w:t xml:space="preserve">v. </w:t>
      </w:r>
      <w:r w:rsidRPr="00B96CAA">
        <w:rPr>
          <w:rFonts w:cs="Times New Roman"/>
          <w:i/>
          <w:iCs/>
          <w:color w:val="000000"/>
          <w:szCs w:val="24"/>
        </w:rPr>
        <w:t>American College of Obstetricians and Gynecologists</w:t>
      </w:r>
      <w:r w:rsidRPr="00B96CAA">
        <w:rPr>
          <w:rFonts w:cs="Times New Roman"/>
          <w:color w:val="000000"/>
          <w:szCs w:val="24"/>
        </w:rPr>
        <w:t xml:space="preserve"> (1986), the Court considered a Pennsylvania statute that “prescribe[d] in detail the method for securing ‘informed consent’” to an abortion [that required doctors to provide the opportunity to contact various agencies that provided medical and financial assistance before performing an abortion]…. The Court, as in </w:t>
      </w:r>
      <w:r w:rsidRPr="00B96CAA">
        <w:rPr>
          <w:rFonts w:cs="Times New Roman"/>
          <w:i/>
          <w:color w:val="000000"/>
          <w:szCs w:val="24"/>
        </w:rPr>
        <w:t>Akron</w:t>
      </w:r>
      <w:r w:rsidRPr="00B96CAA">
        <w:rPr>
          <w:rFonts w:cs="Times New Roman"/>
          <w:color w:val="000000"/>
          <w:szCs w:val="24"/>
        </w:rPr>
        <w:t>, held that the statute’s information requirements violated the Constitution….</w:t>
      </w:r>
    </w:p>
    <w:p w14:paraId="07BFE3B3"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These cases, however, whatever support they may have given to the majority’s view, are no longer good law. In </w:t>
      </w:r>
      <w:r w:rsidRPr="00B96CAA">
        <w:rPr>
          <w:rFonts w:cs="Times New Roman"/>
          <w:i/>
          <w:iCs/>
          <w:color w:val="000000"/>
          <w:szCs w:val="24"/>
        </w:rPr>
        <w:t xml:space="preserve">Planned Parenthood of Southeastern Pa. </w:t>
      </w:r>
      <w:r w:rsidRPr="00B96CAA">
        <w:rPr>
          <w:rFonts w:cs="Times New Roman"/>
          <w:color w:val="000000"/>
          <w:szCs w:val="24"/>
        </w:rPr>
        <w:t xml:space="preserve">v. </w:t>
      </w:r>
      <w:r w:rsidRPr="00B96CAA">
        <w:rPr>
          <w:rFonts w:cs="Times New Roman"/>
          <w:i/>
          <w:iCs/>
          <w:color w:val="000000"/>
          <w:szCs w:val="24"/>
        </w:rPr>
        <w:t>Casey</w:t>
      </w:r>
      <w:r w:rsidRPr="00B96CAA">
        <w:rPr>
          <w:rFonts w:cs="Times New Roman"/>
          <w:color w:val="000000"/>
          <w:szCs w:val="24"/>
        </w:rPr>
        <w:t xml:space="preserve"> (1992), the Court again considered a state law that required doctors to provide information to a woman deciding whether to proceed with an abortion. That law required the doctor to tell the woman about the nature of the abortion procedure, the health risks of abortion and of childbirth, the “‘probable gestational age of the unborn child,’” and the availability of printed materials describing the fetus, medical assistance for childbirth, potential child support, and the agencies that would provide adoption services (or other alternatives to abortion).</w:t>
      </w:r>
    </w:p>
    <w:p w14:paraId="678EF3FC"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This time a joint opinion of the Court, in judging whether the State could impose these informational requirements, asked whether doing so imposed an “undue burden” upon women seeking an abortion. It held that it did not.</w:t>
      </w:r>
      <w:r w:rsidRPr="00B96CAA">
        <w:rPr>
          <w:rFonts w:cs="Times New Roman"/>
          <w:i/>
          <w:iCs/>
          <w:color w:val="000000"/>
          <w:szCs w:val="24"/>
        </w:rPr>
        <w:t xml:space="preserve"> </w:t>
      </w:r>
      <w:r w:rsidRPr="00B96CAA">
        <w:rPr>
          <w:rFonts w:cs="Times New Roman"/>
          <w:color w:val="000000"/>
          <w:szCs w:val="24"/>
        </w:rPr>
        <w:t xml:space="preserve">Hence the statute was constitutional…. And, it “overruled” portions of the two cases, </w:t>
      </w:r>
      <w:r w:rsidRPr="00B96CAA">
        <w:rPr>
          <w:rFonts w:cs="Times New Roman"/>
          <w:i/>
          <w:iCs/>
          <w:color w:val="000000"/>
          <w:szCs w:val="24"/>
        </w:rPr>
        <w:t xml:space="preserve">Akron </w:t>
      </w:r>
      <w:r w:rsidRPr="00B96CAA">
        <w:rPr>
          <w:rFonts w:cs="Times New Roman"/>
          <w:color w:val="000000"/>
          <w:szCs w:val="24"/>
        </w:rPr>
        <w:t xml:space="preserve">and </w:t>
      </w:r>
      <w:r w:rsidRPr="00B96CAA">
        <w:rPr>
          <w:rFonts w:cs="Times New Roman"/>
          <w:i/>
          <w:iCs/>
          <w:color w:val="000000"/>
          <w:szCs w:val="24"/>
        </w:rPr>
        <w:t>Thornburgh</w:t>
      </w:r>
      <w:r w:rsidRPr="00B96CAA">
        <w:rPr>
          <w:rFonts w:cs="Times New Roman"/>
          <w:color w:val="000000"/>
          <w:szCs w:val="24"/>
        </w:rPr>
        <w:t>, that might indicate the contrary.</w:t>
      </w:r>
    </w:p>
    <w:p w14:paraId="7232FFF5"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The joint opinion … concluded that the statute did not violate the First Amendment. It wrote: … “to be sure, the physician’s First Amendment rights not to speak are implicated … but </w:t>
      </w:r>
      <w:r w:rsidRPr="00B96CAA">
        <w:rPr>
          <w:rFonts w:cs="Times New Roman"/>
          <w:color w:val="000000"/>
          <w:szCs w:val="24"/>
        </w:rPr>
        <w:lastRenderedPageBreak/>
        <w:t xml:space="preserve">only as part of the practice of medicine, subject to reasonable licensing and regulation by the State.” … </w:t>
      </w:r>
    </w:p>
    <w:p w14:paraId="29924C0C"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I-C. Taking </w:t>
      </w:r>
      <w:r w:rsidRPr="00B96CAA">
        <w:rPr>
          <w:rFonts w:cs="Times New Roman"/>
          <w:i/>
          <w:iCs/>
          <w:color w:val="000000"/>
          <w:szCs w:val="24"/>
        </w:rPr>
        <w:t xml:space="preserve">Casey </w:t>
      </w:r>
      <w:r w:rsidRPr="00B96CAA">
        <w:rPr>
          <w:rFonts w:cs="Times New Roman"/>
          <w:color w:val="000000"/>
          <w:szCs w:val="24"/>
        </w:rPr>
        <w:t xml:space="preserve">as controlling, the law’s demand for even-handedness requires a different answer than that perhaps suggested by </w:t>
      </w:r>
      <w:r w:rsidRPr="00B96CAA">
        <w:rPr>
          <w:rFonts w:cs="Times New Roman"/>
          <w:i/>
          <w:iCs/>
          <w:color w:val="000000"/>
          <w:szCs w:val="24"/>
        </w:rPr>
        <w:t xml:space="preserve">Akron </w:t>
      </w:r>
      <w:r w:rsidRPr="00B96CAA">
        <w:rPr>
          <w:rFonts w:cs="Times New Roman"/>
          <w:color w:val="000000"/>
          <w:szCs w:val="24"/>
        </w:rPr>
        <w:t xml:space="preserve">and </w:t>
      </w:r>
      <w:r w:rsidRPr="00B96CAA">
        <w:rPr>
          <w:rFonts w:cs="Times New Roman"/>
          <w:i/>
          <w:iCs/>
          <w:color w:val="000000"/>
          <w:szCs w:val="24"/>
        </w:rPr>
        <w:t>Thornburgh</w:t>
      </w:r>
      <w:r w:rsidRPr="00B96CAA">
        <w:rPr>
          <w:rFonts w:cs="Times New Roman"/>
          <w:color w:val="000000"/>
          <w:szCs w:val="24"/>
        </w:rPr>
        <w:t>. If a State can lawfully require a doctor to tell a woman seeking an abortion about adoption services, why should it not be able, as here, to require a medical counselor to tell a woman seeking prenatal care or other reproductive healthcare about childbirth and abortion services? As the question suggests, there is no convincing reason to distinguish between information about adoption and information about abortion in this context….</w:t>
      </w:r>
    </w:p>
    <w:p w14:paraId="6C7C2D84"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I-C-1. The majority tries to distinguish </w:t>
      </w:r>
      <w:r w:rsidRPr="00B96CAA">
        <w:rPr>
          <w:rFonts w:cs="Times New Roman"/>
          <w:i/>
          <w:iCs/>
          <w:color w:val="000000"/>
          <w:szCs w:val="24"/>
        </w:rPr>
        <w:t xml:space="preserve">Casey </w:t>
      </w:r>
      <w:r w:rsidRPr="00B96CAA">
        <w:rPr>
          <w:rFonts w:cs="Times New Roman"/>
          <w:color w:val="000000"/>
          <w:szCs w:val="24"/>
        </w:rPr>
        <w:t>as … appl[</w:t>
      </w:r>
      <w:proofErr w:type="spellStart"/>
      <w:r w:rsidRPr="00B96CAA">
        <w:rPr>
          <w:rFonts w:cs="Times New Roman"/>
          <w:color w:val="000000"/>
          <w:szCs w:val="24"/>
        </w:rPr>
        <w:t>ying</w:t>
      </w:r>
      <w:proofErr w:type="spellEnd"/>
      <w:r w:rsidRPr="00B96CAA">
        <w:rPr>
          <w:rFonts w:cs="Times New Roman"/>
          <w:color w:val="000000"/>
          <w:szCs w:val="24"/>
        </w:rPr>
        <w:t xml:space="preserve">] only when obtaining “informed consent” to a medical procedure is directly at issue. This distinction, however, lacks moral, practical, and legal force. The individuals at issue here are all medical personnel engaging in activities that directly affect a woman’s health—not significantly different from the doctors at issue in </w:t>
      </w:r>
      <w:r w:rsidRPr="00B96CAA">
        <w:rPr>
          <w:rFonts w:cs="Times New Roman"/>
          <w:i/>
          <w:iCs/>
          <w:color w:val="000000"/>
          <w:szCs w:val="24"/>
        </w:rPr>
        <w:t>Casey</w:t>
      </w:r>
      <w:r w:rsidRPr="00B96CAA">
        <w:rPr>
          <w:rFonts w:cs="Times New Roman"/>
          <w:color w:val="000000"/>
          <w:szCs w:val="24"/>
        </w:rPr>
        <w:t xml:space="preserve">…. </w:t>
      </w:r>
    </w:p>
    <w:p w14:paraId="72EB13E4"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The majority contends that the disclosure here is unrelated to a “medical procedure,” unlike that in </w:t>
      </w:r>
      <w:r w:rsidRPr="00B96CAA">
        <w:rPr>
          <w:rFonts w:cs="Times New Roman"/>
          <w:i/>
          <w:iCs/>
          <w:color w:val="000000"/>
          <w:szCs w:val="24"/>
        </w:rPr>
        <w:t>Casey</w:t>
      </w:r>
      <w:r w:rsidRPr="00B96CAA">
        <w:rPr>
          <w:rFonts w:cs="Times New Roman"/>
          <w:color w:val="000000"/>
          <w:szCs w:val="24"/>
        </w:rPr>
        <w:t>, and so the State has no reason to inform a woman about alternatives to childbirth (or, presumably, the health risks of childbirth). Really? No one doubts that choosing an abortion is a medical procedure that involves certain health risks…. But the same is true of carrying a child to term and giving birth…. Indeed, nationwide “childbirth is 14 times more likely than abortion to result in” the woman’s death….</w:t>
      </w:r>
    </w:p>
    <w:p w14:paraId="3F67043E"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In any case, informed consent principles apply more broadly than only to discrete “medical procedures.” [For example,] [p]</w:t>
      </w:r>
      <w:proofErr w:type="spellStart"/>
      <w:r w:rsidRPr="00B96CAA">
        <w:rPr>
          <w:rFonts w:cs="Times New Roman"/>
          <w:color w:val="000000"/>
          <w:szCs w:val="24"/>
        </w:rPr>
        <w:t>rescription</w:t>
      </w:r>
      <w:proofErr w:type="spellEnd"/>
      <w:r w:rsidRPr="00B96CAA">
        <w:rPr>
          <w:rFonts w:cs="Times New Roman"/>
          <w:color w:val="000000"/>
          <w:szCs w:val="24"/>
        </w:rPr>
        <w:t xml:space="preserve"> drug labels warn patients of risks even though taking prescription drugs may not be considered a “medical procedure.” … If even these disclosures fall outside the majority’s cramped view of </w:t>
      </w:r>
      <w:r w:rsidRPr="00B96CAA">
        <w:rPr>
          <w:rFonts w:cs="Times New Roman"/>
          <w:i/>
          <w:iCs/>
          <w:color w:val="000000"/>
          <w:szCs w:val="24"/>
        </w:rPr>
        <w:t xml:space="preserve">Casey </w:t>
      </w:r>
      <w:r w:rsidRPr="00B96CAA">
        <w:rPr>
          <w:rFonts w:cs="Times New Roman"/>
          <w:color w:val="000000"/>
          <w:szCs w:val="24"/>
        </w:rPr>
        <w:t xml:space="preserve">and informed consent, it undoubtedly would invalidate the many other disclosures that are routine in the medical context as well. </w:t>
      </w:r>
    </w:p>
    <w:p w14:paraId="6E1AA672"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The majority also finds it “[t]</w:t>
      </w:r>
      <w:proofErr w:type="spellStart"/>
      <w:r w:rsidRPr="00B96CAA">
        <w:rPr>
          <w:rFonts w:cs="Times New Roman"/>
          <w:color w:val="000000"/>
          <w:szCs w:val="24"/>
        </w:rPr>
        <w:t>ellin</w:t>
      </w:r>
      <w:proofErr w:type="spellEnd"/>
      <w:r w:rsidRPr="00B96CAA">
        <w:rPr>
          <w:rFonts w:cs="Times New Roman"/>
          <w:color w:val="000000"/>
          <w:szCs w:val="24"/>
        </w:rPr>
        <w:t>[g]” that general practice clinics—</w:t>
      </w:r>
      <w:r w:rsidRPr="00B96CAA">
        <w:rPr>
          <w:rFonts w:cs="Times New Roman"/>
          <w:i/>
          <w:iCs/>
          <w:color w:val="000000"/>
          <w:szCs w:val="24"/>
        </w:rPr>
        <w:t xml:space="preserve">i.e., </w:t>
      </w:r>
      <w:r w:rsidRPr="00B96CAA">
        <w:rPr>
          <w:rFonts w:cs="Times New Roman"/>
          <w:color w:val="000000"/>
          <w:szCs w:val="24"/>
        </w:rPr>
        <w:t xml:space="preserve">paid clinics—are not required to provide the licensed notice. But the lack-of-information problem that the statute seeks to ameliorate is a problem that the State explains is commonly found among low-income women. That those with low income might lack the time to become fully informed … is not intuitively surprising…. </w:t>
      </w:r>
    </w:p>
    <w:p w14:paraId="0F706126"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I-C-2. … The majority concludes that </w:t>
      </w:r>
      <w:proofErr w:type="spellStart"/>
      <w:r w:rsidRPr="00B96CAA">
        <w:rPr>
          <w:rFonts w:cs="Times New Roman"/>
          <w:i/>
          <w:iCs/>
          <w:color w:val="000000"/>
          <w:szCs w:val="24"/>
        </w:rPr>
        <w:t>Zauderer</w:t>
      </w:r>
      <w:proofErr w:type="spellEnd"/>
      <w:r w:rsidRPr="00B96CAA">
        <w:rPr>
          <w:rFonts w:cs="Times New Roman"/>
          <w:i/>
          <w:iCs/>
          <w:color w:val="000000"/>
          <w:szCs w:val="24"/>
        </w:rPr>
        <w:t xml:space="preserve"> </w:t>
      </w:r>
      <w:r w:rsidRPr="00B96CAA">
        <w:rPr>
          <w:rFonts w:cs="Times New Roman"/>
          <w:color w:val="000000"/>
          <w:szCs w:val="24"/>
        </w:rPr>
        <w:t xml:space="preserve">does not apply because the disclosure “in no way relates to the services that licensed clinics provide.” But information about state resources for family planning, prenatal care, and abortion </w:t>
      </w:r>
      <w:r w:rsidRPr="00B96CAA">
        <w:rPr>
          <w:rFonts w:cs="Times New Roman"/>
          <w:i/>
          <w:iCs/>
          <w:color w:val="000000"/>
          <w:szCs w:val="24"/>
        </w:rPr>
        <w:t xml:space="preserve">is </w:t>
      </w:r>
      <w:r w:rsidRPr="00B96CAA">
        <w:rPr>
          <w:rFonts w:cs="Times New Roman"/>
          <w:color w:val="000000"/>
          <w:szCs w:val="24"/>
        </w:rPr>
        <w:t>related to the services that licensed clinics provide…</w:t>
      </w:r>
    </w:p>
    <w:p w14:paraId="654B9A7C"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I-D. It is particularly unfortunate that the majority, through application of so broad and </w:t>
      </w:r>
      <w:r w:rsidRPr="00B96CAA">
        <w:rPr>
          <w:rFonts w:cs="Times New Roman"/>
          <w:color w:val="000000"/>
          <w:szCs w:val="24"/>
        </w:rPr>
        <w:lastRenderedPageBreak/>
        <w:t>obscure a standard, declines to reach remaining arguments that the Act discriminates on the basis of viewpoint…. Given the absence of evidence in the record before the lower courts, the “viewpoint discrimination” claim could not justify the issuance of a preliminary injunction.</w:t>
      </w:r>
    </w:p>
    <w:p w14:paraId="20728348"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II. [As to the statutory provision covering unlicensed facilities], the majority concludes that the State’s interest is “purely hypothetical” because unlicensed clinics provide innocuous services that do not require a medical license. To do so, it applies a searching standard of review based on our precedents that deal with speech </w:t>
      </w:r>
      <w:r w:rsidRPr="00B96CAA">
        <w:rPr>
          <w:rFonts w:cs="Times New Roman"/>
          <w:i/>
          <w:iCs/>
          <w:color w:val="000000"/>
          <w:szCs w:val="24"/>
        </w:rPr>
        <w:t>restrictions</w:t>
      </w:r>
      <w:r w:rsidRPr="00B96CAA">
        <w:rPr>
          <w:rFonts w:cs="Times New Roman"/>
          <w:color w:val="000000"/>
          <w:szCs w:val="24"/>
        </w:rPr>
        <w:t xml:space="preserve">, not </w:t>
      </w:r>
      <w:r w:rsidRPr="00B96CAA">
        <w:rPr>
          <w:rFonts w:cs="Times New Roman"/>
          <w:i/>
          <w:iCs/>
          <w:color w:val="000000"/>
          <w:szCs w:val="24"/>
        </w:rPr>
        <w:t>disclosures</w:t>
      </w:r>
      <w:r w:rsidRPr="00B96CAA">
        <w:rPr>
          <w:rFonts w:cs="Times New Roman"/>
          <w:color w:val="000000"/>
          <w:szCs w:val="24"/>
        </w:rPr>
        <w:t>.... There is no basis for finding the State’s interest “hypothetical.” …</w:t>
      </w:r>
    </w:p>
    <w:p w14:paraId="64231AC6" w14:textId="77777777" w:rsidR="00675288" w:rsidRPr="00B96CAA" w:rsidRDefault="00675288" w:rsidP="00675288">
      <w:pPr>
        <w:widowControl w:val="0"/>
        <w:autoSpaceDE w:val="0"/>
        <w:autoSpaceDN w:val="0"/>
        <w:adjustRightInd w:val="0"/>
        <w:ind w:firstLine="720"/>
        <w:jc w:val="both"/>
        <w:rPr>
          <w:rFonts w:cs="Times New Roman"/>
          <w:color w:val="000000"/>
          <w:szCs w:val="24"/>
        </w:rPr>
      </w:pPr>
      <w:r w:rsidRPr="00B96CAA">
        <w:rPr>
          <w:rFonts w:cs="Times New Roman"/>
          <w:color w:val="000000"/>
          <w:szCs w:val="24"/>
        </w:rPr>
        <w:t xml:space="preserve">The majority also suggests that the Act applies too broadly, namely, to all unlicensed facilities “no matter what the facilities say on site or in their advertisements.” But the Court has long held that a law is not unreasonable merely because it is overinclusive. [This sentence should be read in the context discussed, regulations dealing with business or health and safety.]  For instance, in </w:t>
      </w:r>
      <w:r w:rsidRPr="00B96CAA">
        <w:rPr>
          <w:rFonts w:cs="Times New Roman"/>
          <w:i/>
          <w:iCs/>
          <w:color w:val="000000"/>
          <w:szCs w:val="24"/>
        </w:rPr>
        <w:t>Semler</w:t>
      </w:r>
      <w:r w:rsidRPr="00B96CAA">
        <w:rPr>
          <w:rFonts w:cs="Times New Roman"/>
          <w:color w:val="000000"/>
          <w:szCs w:val="24"/>
        </w:rPr>
        <w:t xml:space="preserve"> the Court upheld as reasonable a state law that prohibited licensed dentists from advertising that their skills were superior to those of other dentists. .… [T]he Court held that … “[t]he legislature was entitled to consider the general effects of the practices which it described, and if these effects were injurious in facilitating unwarranted and misleading claims, to counteract them by a general rule, even though in particular instances there might be no actual deception or misstatement.” </w:t>
      </w:r>
    </w:p>
    <w:p w14:paraId="31C711EB"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Relatedly, the majority suggests that the Act is suspect because it covers some speakers but not others. I agree that a law’s exemptions can reveal viewpoint discrimination … [but] [t]here is no cause for such concern here…</w:t>
      </w:r>
    </w:p>
    <w:p w14:paraId="3D07451B" w14:textId="77777777"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Finally, the majority concludes that the Act is overly burdensome. I agree that “unduly burden- some disclosure requirements might offend the First Amendment.” … But these and similar claims are claims that the statute could be applied unconstitutionally, not that it is unconstitutional on its face….</w:t>
      </w:r>
    </w:p>
    <w:p w14:paraId="5AF2E364" w14:textId="1244D381" w:rsidR="00675288" w:rsidRPr="00B96CAA" w:rsidRDefault="00675288" w:rsidP="00675288">
      <w:pPr>
        <w:widowControl w:val="0"/>
        <w:autoSpaceDE w:val="0"/>
        <w:autoSpaceDN w:val="0"/>
        <w:adjustRightInd w:val="0"/>
        <w:spacing w:after="240"/>
        <w:ind w:firstLine="720"/>
        <w:jc w:val="both"/>
        <w:rPr>
          <w:rFonts w:cs="Times New Roman"/>
          <w:color w:val="000000"/>
          <w:szCs w:val="24"/>
        </w:rPr>
      </w:pPr>
      <w:r w:rsidRPr="00B96CAA">
        <w:rPr>
          <w:rFonts w:cs="Times New Roman"/>
          <w:color w:val="000000"/>
          <w:szCs w:val="24"/>
        </w:rPr>
        <w:t xml:space="preserve">For these reasons I would not hold the California statute unconstitutional on its face, I would not require the District Court to issue a preliminary injunction forbidding its enforcement, and I respectfully dissent from the majority’s contrary conclusions. </w:t>
      </w:r>
    </w:p>
    <w:p w14:paraId="58372C29" w14:textId="53649983" w:rsidR="00082F78" w:rsidRPr="00B96CAA" w:rsidRDefault="00082F78" w:rsidP="003A769E">
      <w:pPr>
        <w:pStyle w:val="Heading2"/>
      </w:pPr>
      <w:bookmarkStart w:id="47" w:name="_Toc16886260"/>
      <w:r w:rsidRPr="00B96CAA">
        <w:t>Part II, Section XV. Symbols and Silence: Compelled Affirmation.</w:t>
      </w:r>
      <w:bookmarkEnd w:id="47"/>
      <w:r w:rsidRPr="00B96CAA">
        <w:t xml:space="preserve"> </w:t>
      </w:r>
      <w:r w:rsidR="00B96CAA" w:rsidRPr="00B96CAA">
        <w:t xml:space="preserve"> </w:t>
      </w:r>
    </w:p>
    <w:p w14:paraId="57A5FFC1" w14:textId="77777777" w:rsidR="00082F78" w:rsidRPr="00B96CAA" w:rsidRDefault="00082F78" w:rsidP="00082F78">
      <w:pPr>
        <w:jc w:val="both"/>
        <w:rPr>
          <w:rFonts w:cs="Times New Roman"/>
          <w:color w:val="000000" w:themeColor="text1"/>
          <w:szCs w:val="24"/>
        </w:rPr>
      </w:pPr>
      <w:r w:rsidRPr="00B96CAA">
        <w:rPr>
          <w:rFonts w:cs="Times New Roman"/>
          <w:color w:val="000000" w:themeColor="text1"/>
          <w:szCs w:val="24"/>
        </w:rPr>
        <w:t>[</w:t>
      </w:r>
      <w:r w:rsidRPr="0042724A">
        <w:rPr>
          <w:rFonts w:cs="Times New Roman"/>
          <w:i/>
          <w:color w:val="000000" w:themeColor="text1"/>
          <w:szCs w:val="24"/>
        </w:rPr>
        <w:t xml:space="preserve">Insert on page 1305 after note on </w:t>
      </w:r>
      <w:r w:rsidRPr="0042724A">
        <w:rPr>
          <w:rFonts w:cs="Times New Roman"/>
          <w:color w:val="000000" w:themeColor="text1"/>
          <w:szCs w:val="24"/>
        </w:rPr>
        <w:t>Rumsfeld</w:t>
      </w:r>
      <w:r w:rsidRPr="00B96CAA">
        <w:rPr>
          <w:rFonts w:cs="Times New Roman"/>
          <w:color w:val="000000" w:themeColor="text1"/>
          <w:szCs w:val="24"/>
        </w:rPr>
        <w:t>.]</w:t>
      </w:r>
    </w:p>
    <w:p w14:paraId="4BF4ED28" w14:textId="3ADF87CD" w:rsidR="00082F78" w:rsidRPr="00B96CAA" w:rsidRDefault="00082F78" w:rsidP="00B96CAA">
      <w:pPr>
        <w:pStyle w:val="Heading3"/>
        <w:jc w:val="center"/>
        <w:rPr>
          <w:b w:val="0"/>
          <w:szCs w:val="24"/>
        </w:rPr>
      </w:pPr>
      <w:bookmarkStart w:id="48" w:name="_Toc16886261"/>
      <w:r w:rsidRPr="00B96CAA">
        <w:rPr>
          <w:szCs w:val="24"/>
        </w:rPr>
        <w:t>Note</w:t>
      </w:r>
      <w:r w:rsidRPr="00B96CAA">
        <w:rPr>
          <w:b w:val="0"/>
          <w:szCs w:val="24"/>
        </w:rPr>
        <w:t xml:space="preserve">: </w:t>
      </w:r>
      <w:r w:rsidRPr="00B96CAA">
        <w:rPr>
          <w:i/>
          <w:szCs w:val="24"/>
        </w:rPr>
        <w:t xml:space="preserve">Janus v. </w:t>
      </w:r>
      <w:r w:rsidR="00B96CAA" w:rsidRPr="00B96CAA">
        <w:rPr>
          <w:i/>
          <w:szCs w:val="24"/>
        </w:rPr>
        <w:t>AFSCME</w:t>
      </w:r>
      <w:r w:rsidRPr="00B96CAA">
        <w:rPr>
          <w:i/>
          <w:szCs w:val="24"/>
        </w:rPr>
        <w:t>, Council 31</w:t>
      </w:r>
      <w:r w:rsidRPr="00B96CAA">
        <w:rPr>
          <w:szCs w:val="24"/>
        </w:rPr>
        <w:t xml:space="preserve"> (2018)</w:t>
      </w:r>
      <w:bookmarkEnd w:id="48"/>
    </w:p>
    <w:p w14:paraId="085003E9" w14:textId="0D0104A1" w:rsidR="00082F78" w:rsidRPr="00B96CAA" w:rsidRDefault="00082F78" w:rsidP="00082F78">
      <w:pPr>
        <w:jc w:val="both"/>
        <w:rPr>
          <w:rFonts w:cs="Times New Roman"/>
          <w:color w:val="000000" w:themeColor="text1"/>
          <w:szCs w:val="24"/>
        </w:rPr>
      </w:pPr>
      <w:r w:rsidRPr="00B96CAA">
        <w:rPr>
          <w:rFonts w:cs="Times New Roman"/>
          <w:color w:val="000000" w:themeColor="text1"/>
          <w:szCs w:val="24"/>
        </w:rPr>
        <w:tab/>
        <w:t xml:space="preserve">Illinois law permits public employees to unionize. If a majority of employees in a bargaining unit vote in favor of union representation, that union is designated as the exclusive bargaining representative of all employees, including those who choose not to join the union. Employees may not designate any other agent as their representative or bargain with the </w:t>
      </w:r>
      <w:r w:rsidRPr="00B96CAA">
        <w:rPr>
          <w:rFonts w:cs="Times New Roman"/>
          <w:color w:val="000000" w:themeColor="text1"/>
          <w:szCs w:val="24"/>
        </w:rPr>
        <w:lastRenderedPageBreak/>
        <w:t xml:space="preserve">government employer directly. Public-sector unions were permitted to charge non-member employees an agency fee, </w:t>
      </w:r>
      <w:r w:rsidRPr="00B96CAA">
        <w:rPr>
          <w:rFonts w:cs="Times New Roman"/>
          <w:i/>
          <w:color w:val="000000" w:themeColor="text1"/>
          <w:szCs w:val="24"/>
        </w:rPr>
        <w:t xml:space="preserve">i.e. </w:t>
      </w:r>
      <w:r w:rsidRPr="00B96CAA">
        <w:rPr>
          <w:rFonts w:cs="Times New Roman"/>
          <w:color w:val="000000" w:themeColor="text1"/>
          <w:szCs w:val="24"/>
        </w:rPr>
        <w:t xml:space="preserve">a lesser percentage of the full union dues. Under </w:t>
      </w:r>
      <w:proofErr w:type="spellStart"/>
      <w:r w:rsidRPr="00B96CAA">
        <w:rPr>
          <w:rFonts w:cs="Times New Roman"/>
          <w:i/>
          <w:color w:val="000000" w:themeColor="text1"/>
          <w:szCs w:val="24"/>
        </w:rPr>
        <w:t>Abood</w:t>
      </w:r>
      <w:proofErr w:type="spellEnd"/>
      <w:r w:rsidRPr="00B96CAA">
        <w:rPr>
          <w:rFonts w:cs="Times New Roman"/>
          <w:i/>
          <w:color w:val="000000" w:themeColor="text1"/>
          <w:szCs w:val="24"/>
        </w:rPr>
        <w:t xml:space="preserve"> v. Detroit Board of Education</w:t>
      </w:r>
      <w:r w:rsidRPr="00B96CAA">
        <w:rPr>
          <w:rFonts w:cs="Times New Roman"/>
          <w:color w:val="000000" w:themeColor="text1"/>
          <w:szCs w:val="24"/>
        </w:rPr>
        <w:t>, the agency fee was only permitted to cover expenditures germane to the union’s collective-bargaining and representation of employees with the employer, for example, in bargaining, grievance procedures and arbitration of grievances. Political activities were not chargeable agency fees.</w:t>
      </w:r>
    </w:p>
    <w:p w14:paraId="00B2A7CA" w14:textId="435C9FA0" w:rsidR="00082F78" w:rsidRPr="00B96CAA" w:rsidRDefault="00082F78" w:rsidP="00082F78">
      <w:pPr>
        <w:ind w:firstLine="720"/>
        <w:jc w:val="both"/>
        <w:rPr>
          <w:rFonts w:cs="Times New Roman"/>
          <w:color w:val="000000" w:themeColor="text1"/>
          <w:szCs w:val="24"/>
        </w:rPr>
      </w:pPr>
      <w:r w:rsidRPr="00B96CAA">
        <w:rPr>
          <w:rFonts w:cs="Times New Roman"/>
          <w:color w:val="000000" w:themeColor="text1"/>
          <w:szCs w:val="24"/>
        </w:rPr>
        <w:t>Mark Janus, a child support specialist employed by the Illinois Department of Healthcare and Family Services, was represented by the American Federation of State, County, and Municipal Employees, Council 31 (“</w:t>
      </w:r>
      <w:r w:rsidR="00B96CAA" w:rsidRPr="00B96CAA">
        <w:rPr>
          <w:szCs w:val="24"/>
        </w:rPr>
        <w:t>AFSCME</w:t>
      </w:r>
      <w:r w:rsidRPr="00B96CAA">
        <w:rPr>
          <w:rFonts w:cs="Times New Roman"/>
          <w:color w:val="000000" w:themeColor="text1"/>
          <w:szCs w:val="24"/>
        </w:rPr>
        <w:t xml:space="preserve">”). Janus refused to join </w:t>
      </w:r>
      <w:r w:rsidR="00B96CAA" w:rsidRPr="00B96CAA">
        <w:rPr>
          <w:szCs w:val="24"/>
        </w:rPr>
        <w:t>AFSCME</w:t>
      </w:r>
      <w:r w:rsidRPr="00B96CAA">
        <w:rPr>
          <w:rFonts w:cs="Times New Roman"/>
          <w:color w:val="000000" w:themeColor="text1"/>
          <w:szCs w:val="24"/>
        </w:rPr>
        <w:t xml:space="preserve"> because he opposed many of the Union’s positions and believed that the Union’s conduct in bargaining contributed to the State’s fiscal troubles. Janus challenged his required payment of agency fees on the grounds that the charge the fee to him violated his free speech rights under the First Amendment by requiring him to subsidize the Union’s speech. The district court dismissed the lawsuit on the grounds that </w:t>
      </w:r>
      <w:proofErr w:type="spellStart"/>
      <w:r w:rsidRPr="00B96CAA">
        <w:rPr>
          <w:rFonts w:cs="Times New Roman"/>
          <w:i/>
          <w:color w:val="000000" w:themeColor="text1"/>
          <w:szCs w:val="24"/>
        </w:rPr>
        <w:t>Abood</w:t>
      </w:r>
      <w:proofErr w:type="spellEnd"/>
      <w:r w:rsidRPr="00B96CAA">
        <w:rPr>
          <w:rFonts w:cs="Times New Roman"/>
          <w:color w:val="000000" w:themeColor="text1"/>
          <w:szCs w:val="24"/>
        </w:rPr>
        <w:t xml:space="preserve"> foreclosed Janus’s claim, and the Seventh Circuit affirmed.  </w:t>
      </w:r>
    </w:p>
    <w:p w14:paraId="60DB8EF4" w14:textId="5CCA31F7" w:rsidR="00082F78" w:rsidRPr="00B96CAA" w:rsidRDefault="00082F78" w:rsidP="00A13AD4">
      <w:pPr>
        <w:ind w:firstLine="720"/>
        <w:rPr>
          <w:rFonts w:cs="Times New Roman"/>
          <w:color w:val="000000" w:themeColor="text1"/>
          <w:szCs w:val="24"/>
        </w:rPr>
      </w:pPr>
      <w:r w:rsidRPr="00B96CAA">
        <w:rPr>
          <w:rFonts w:cs="Times New Roman"/>
          <w:color w:val="000000" w:themeColor="text1"/>
          <w:szCs w:val="24"/>
        </w:rPr>
        <w:t xml:space="preserve">In a 5-4 decision, the Supreme Court overruled </w:t>
      </w:r>
      <w:proofErr w:type="spellStart"/>
      <w:r w:rsidRPr="00B96CAA">
        <w:rPr>
          <w:rFonts w:cs="Times New Roman"/>
          <w:i/>
          <w:color w:val="000000" w:themeColor="text1"/>
          <w:szCs w:val="24"/>
        </w:rPr>
        <w:t>Abood</w:t>
      </w:r>
      <w:proofErr w:type="spellEnd"/>
      <w:r w:rsidRPr="00B96CAA">
        <w:rPr>
          <w:rFonts w:cs="Times New Roman"/>
          <w:color w:val="000000" w:themeColor="text1"/>
          <w:szCs w:val="24"/>
        </w:rPr>
        <w:t xml:space="preserve"> and held agency fees charged to non-consenting public employees were unconstitutional. Justice Alito, writing for the majority, </w:t>
      </w:r>
      <w:r w:rsidR="00572499">
        <w:rPr>
          <w:rFonts w:cs="Times New Roman"/>
          <w:color w:val="000000" w:themeColor="text1"/>
          <w:szCs w:val="24"/>
        </w:rPr>
        <w:t xml:space="preserve">was joined by </w:t>
      </w:r>
      <w:r w:rsidR="00572499">
        <w:t xml:space="preserve">Roberts, C. J., </w:t>
      </w:r>
      <w:r w:rsidR="00DB4423">
        <w:t xml:space="preserve">and </w:t>
      </w:r>
      <w:r w:rsidR="00572499">
        <w:t>Kennedy, Thomas, and Gorsuch</w:t>
      </w:r>
      <w:r w:rsidR="00DB4423">
        <w:t>, JJ.</w:t>
      </w:r>
      <w:r w:rsidR="00572499">
        <w:t xml:space="preserve"> </w:t>
      </w:r>
      <w:r w:rsidR="00572499" w:rsidRPr="00B96CAA">
        <w:rPr>
          <w:rFonts w:cs="Times New Roman"/>
          <w:color w:val="000000" w:themeColor="text1"/>
          <w:szCs w:val="24"/>
        </w:rPr>
        <w:t xml:space="preserve">Justice </w:t>
      </w:r>
      <w:r w:rsidR="00572499">
        <w:t>Sotomayor filed a dissenting opinion. Justice Kagan also filed a dissenting opinion, in which Ginsburg, Breyer, and Sotomayor</w:t>
      </w:r>
      <w:r w:rsidR="00DB4423">
        <w:t>, JJ.,</w:t>
      </w:r>
      <w:r w:rsidR="00572499">
        <w:t xml:space="preserve"> joined. The Court </w:t>
      </w:r>
      <w:r w:rsidRPr="00B96CAA">
        <w:rPr>
          <w:rFonts w:cs="Times New Roman"/>
          <w:color w:val="000000" w:themeColor="text1"/>
          <w:szCs w:val="24"/>
        </w:rPr>
        <w:t>found that agency fees violate the free speech rights of public employees who refuse union membership by forcing them to subsidize the speech of the union. The Court suggested that such a requirement may trigger strict scrutiny, but did not decide that issue as the agency-fee scheme did not survive the lesser “exacting” scrutiny applied to “the compulsory subsidization of commercial speech.” To survive that scrutiny, a compelled subsidy must “serve a compelling state interest that cannot be achieved through means significantly less restrictive of associational freedoms.”</w:t>
      </w:r>
    </w:p>
    <w:p w14:paraId="620804AD" w14:textId="77777777" w:rsidR="00082F78" w:rsidRPr="00B96CAA" w:rsidRDefault="00082F78" w:rsidP="00082F78">
      <w:pPr>
        <w:ind w:firstLine="720"/>
        <w:jc w:val="both"/>
        <w:rPr>
          <w:rFonts w:cs="Times New Roman"/>
          <w:color w:val="000000" w:themeColor="text1"/>
          <w:szCs w:val="24"/>
        </w:rPr>
      </w:pPr>
      <w:r w:rsidRPr="00B96CAA">
        <w:rPr>
          <w:rFonts w:cs="Times New Roman"/>
          <w:color w:val="000000" w:themeColor="text1"/>
          <w:szCs w:val="24"/>
        </w:rPr>
        <w:t xml:space="preserve">The Court rejected the primary defense of </w:t>
      </w:r>
      <w:proofErr w:type="spellStart"/>
      <w:r w:rsidRPr="00B96CAA">
        <w:rPr>
          <w:rFonts w:cs="Times New Roman"/>
          <w:i/>
          <w:color w:val="000000" w:themeColor="text1"/>
          <w:szCs w:val="24"/>
        </w:rPr>
        <w:t>Abood</w:t>
      </w:r>
      <w:proofErr w:type="spellEnd"/>
      <w:r w:rsidRPr="00B96CAA">
        <w:rPr>
          <w:rFonts w:cs="Times New Roman"/>
          <w:color w:val="000000" w:themeColor="text1"/>
          <w:szCs w:val="24"/>
        </w:rPr>
        <w:t xml:space="preserve">: that the State’s interest in maintaining “labor peace” justified agency fees. The Court observed that while unions were prohibited from collecting agency fees from federal employees, unions continued to effectively represent those employees as their exclusive bargaining representative. Therefore, the Court concluded that labor peace could be achieved by means less restrictive of employees’ associational freedoms than the assessment of agency fees. </w:t>
      </w:r>
    </w:p>
    <w:p w14:paraId="68A84493" w14:textId="77777777" w:rsidR="00082F78" w:rsidRPr="00B96CAA" w:rsidRDefault="00082F78" w:rsidP="00082F78">
      <w:pPr>
        <w:ind w:firstLine="720"/>
        <w:jc w:val="both"/>
        <w:rPr>
          <w:rFonts w:cs="Times New Roman"/>
          <w:color w:val="000000" w:themeColor="text1"/>
          <w:szCs w:val="24"/>
        </w:rPr>
      </w:pPr>
      <w:r w:rsidRPr="00B96CAA">
        <w:rPr>
          <w:rFonts w:cs="Times New Roman"/>
          <w:color w:val="000000" w:themeColor="text1"/>
          <w:szCs w:val="24"/>
        </w:rPr>
        <w:t xml:space="preserve">Since unions are obligated by law to fairly represent all employees, including nonmembers, </w:t>
      </w:r>
      <w:proofErr w:type="spellStart"/>
      <w:r w:rsidRPr="00B96CAA">
        <w:rPr>
          <w:rFonts w:cs="Times New Roman"/>
          <w:i/>
          <w:color w:val="000000" w:themeColor="text1"/>
          <w:szCs w:val="24"/>
        </w:rPr>
        <w:t>Abood</w:t>
      </w:r>
      <w:proofErr w:type="spellEnd"/>
      <w:r w:rsidRPr="00B96CAA">
        <w:rPr>
          <w:rFonts w:cs="Times New Roman"/>
          <w:color w:val="000000" w:themeColor="text1"/>
          <w:szCs w:val="24"/>
        </w:rPr>
        <w:t xml:space="preserve"> also reasoned that agency fees are necessary to prevent “free riders” from enjoying the benefits of union representation without contributing to the expenses of collective bargaining and representation of employees. To the majority, this was not a compelling state interest:</w:t>
      </w:r>
    </w:p>
    <w:p w14:paraId="1A5BB28A" w14:textId="0B0379A9" w:rsidR="00082F78" w:rsidRPr="00B96CAA" w:rsidRDefault="00082F78" w:rsidP="00082F78">
      <w:pPr>
        <w:ind w:left="720" w:right="720"/>
        <w:jc w:val="both"/>
        <w:rPr>
          <w:rFonts w:eastAsia="Times New Roman" w:cs="Times New Roman"/>
          <w:color w:val="000000" w:themeColor="text1"/>
          <w:szCs w:val="24"/>
        </w:rPr>
      </w:pPr>
      <w:r w:rsidRPr="00B96CAA">
        <w:rPr>
          <w:rFonts w:eastAsia="Times New Roman" w:cs="Times New Roman"/>
          <w:color w:val="000000" w:themeColor="text1"/>
          <w:szCs w:val="24"/>
        </w:rPr>
        <w:t>“[P]</w:t>
      </w:r>
      <w:proofErr w:type="spellStart"/>
      <w:r w:rsidRPr="00B96CAA">
        <w:rPr>
          <w:rFonts w:eastAsia="Times New Roman" w:cs="Times New Roman"/>
          <w:color w:val="000000" w:themeColor="text1"/>
          <w:szCs w:val="24"/>
        </w:rPr>
        <w:t>rivate</w:t>
      </w:r>
      <w:proofErr w:type="spellEnd"/>
      <w:r w:rsidRPr="00B96CAA">
        <w:rPr>
          <w:rFonts w:eastAsia="Times New Roman" w:cs="Times New Roman"/>
          <w:color w:val="000000" w:themeColor="text1"/>
          <w:szCs w:val="24"/>
        </w:rPr>
        <w:t xml:space="preserve"> speech often furthers the interests of </w:t>
      </w:r>
      <w:proofErr w:type="spellStart"/>
      <w:r w:rsidRPr="00B96CAA">
        <w:rPr>
          <w:rFonts w:eastAsia="Times New Roman" w:cs="Times New Roman"/>
          <w:color w:val="000000" w:themeColor="text1"/>
          <w:szCs w:val="24"/>
        </w:rPr>
        <w:t>nonspeakers</w:t>
      </w:r>
      <w:proofErr w:type="spellEnd"/>
      <w:r w:rsidRPr="00B96CAA">
        <w:rPr>
          <w:rFonts w:eastAsia="Times New Roman" w:cs="Times New Roman"/>
          <w:color w:val="000000" w:themeColor="text1"/>
          <w:szCs w:val="24"/>
        </w:rPr>
        <w:t xml:space="preserve">,” but “that does not alone empower the state to compel the speech to be paid for.” </w:t>
      </w:r>
      <w:r w:rsidRPr="003A769E">
        <w:rPr>
          <w:rFonts w:eastAsia="Times New Roman" w:cs="Times New Roman"/>
          <w:i/>
          <w:color w:val="000000" w:themeColor="text1"/>
          <w:szCs w:val="24"/>
        </w:rPr>
        <w:t xml:space="preserve">Lehnert v. Ferris </w:t>
      </w:r>
      <w:r w:rsidRPr="003A769E">
        <w:rPr>
          <w:rFonts w:eastAsia="Times New Roman" w:cs="Times New Roman"/>
          <w:i/>
          <w:color w:val="000000" w:themeColor="text1"/>
          <w:szCs w:val="24"/>
        </w:rPr>
        <w:lastRenderedPageBreak/>
        <w:t>Faculty Assn.</w:t>
      </w:r>
      <w:r w:rsidRPr="00B96CAA">
        <w:rPr>
          <w:rFonts w:eastAsia="Times New Roman" w:cs="Times New Roman"/>
          <w:color w:val="000000" w:themeColor="text1"/>
          <w:szCs w:val="24"/>
        </w:rPr>
        <w:t xml:space="preserve"> (1991) (Scalia, J., concurring in judgment in part and dissenting in part). In simple terms, the First Amendment does not permit the government to compel a person to pay for another party's speech just because the government thinks that the speech furthers the interests of the person who does not want to pay.</w:t>
      </w:r>
    </w:p>
    <w:p w14:paraId="21B93BCE" w14:textId="77777777" w:rsidR="00082F78" w:rsidRPr="00B96CAA" w:rsidRDefault="00082F78" w:rsidP="00082F78">
      <w:pPr>
        <w:ind w:firstLine="720"/>
        <w:jc w:val="both"/>
        <w:rPr>
          <w:rFonts w:eastAsia="Times New Roman" w:cs="Times New Roman"/>
          <w:color w:val="000000" w:themeColor="text1"/>
          <w:szCs w:val="24"/>
        </w:rPr>
      </w:pPr>
      <w:r w:rsidRPr="00B96CAA">
        <w:rPr>
          <w:rFonts w:eastAsia="Times New Roman" w:cs="Times New Roman"/>
          <w:color w:val="000000" w:themeColor="text1"/>
          <w:szCs w:val="24"/>
        </w:rPr>
        <w:t xml:space="preserve">The majority said that even representing individual nonmember employees in grievance proceedings served the union’s interests because “when a union controls the grievance process, it may, as a practical matter, effectively subordinate the interests of an individual employee to the collective interests of all employees in the bargaining unit.” Further, the issue of union representation of individual employees in grievance proceedings could be addressed by less restrictive means, such as requiring employees who desire that service to then pay a fee. </w:t>
      </w:r>
    </w:p>
    <w:p w14:paraId="348E0998" w14:textId="77777777" w:rsidR="00082F78" w:rsidRPr="00B96CAA" w:rsidRDefault="00082F78" w:rsidP="00082F78">
      <w:pPr>
        <w:ind w:firstLine="720"/>
        <w:jc w:val="both"/>
        <w:rPr>
          <w:rFonts w:eastAsia="Times New Roman" w:cs="Times New Roman"/>
          <w:color w:val="000000" w:themeColor="text1"/>
          <w:szCs w:val="24"/>
        </w:rPr>
      </w:pPr>
      <w:r w:rsidRPr="00B96CAA">
        <w:rPr>
          <w:rFonts w:eastAsia="Times New Roman" w:cs="Times New Roman"/>
          <w:color w:val="000000" w:themeColor="text1"/>
          <w:szCs w:val="24"/>
        </w:rPr>
        <w:t xml:space="preserve">Turning to the next defense of </w:t>
      </w:r>
      <w:proofErr w:type="spellStart"/>
      <w:r w:rsidRPr="00B96CAA">
        <w:rPr>
          <w:rFonts w:eastAsia="Times New Roman" w:cs="Times New Roman"/>
          <w:i/>
          <w:color w:val="000000" w:themeColor="text1"/>
          <w:szCs w:val="24"/>
        </w:rPr>
        <w:t>Abood</w:t>
      </w:r>
      <w:proofErr w:type="spellEnd"/>
      <w:r w:rsidRPr="00B96CAA">
        <w:rPr>
          <w:rFonts w:eastAsia="Times New Roman" w:cs="Times New Roman"/>
          <w:color w:val="000000" w:themeColor="text1"/>
          <w:szCs w:val="24"/>
        </w:rPr>
        <w:t xml:space="preserve">, the Court rejected the Union’s reliance on </w:t>
      </w:r>
      <w:r w:rsidRPr="00B96CAA">
        <w:rPr>
          <w:rFonts w:eastAsia="Times New Roman" w:cs="Times New Roman"/>
          <w:i/>
          <w:color w:val="000000" w:themeColor="text1"/>
          <w:szCs w:val="24"/>
        </w:rPr>
        <w:t>Pickering v. Board of Education of Township High School District 205</w:t>
      </w:r>
      <w:r w:rsidRPr="00B96CAA">
        <w:rPr>
          <w:rFonts w:eastAsia="Times New Roman" w:cs="Times New Roman"/>
          <w:color w:val="000000" w:themeColor="text1"/>
          <w:szCs w:val="24"/>
        </w:rPr>
        <w:t xml:space="preserve"> and the line of cases that followed holding that “employee speech is largely unprotected if it is part of what the employee is paid to do... or if it involved a matter of only private concern” and that an employee’s speech on a matter of public concern “is protected unless ‘the interest of the state, as an employer, in promoting the efficiency of the public services it performs through its employees outweighs the interests of the employee, as a citizen, in commenting on matters of public concern.” </w:t>
      </w:r>
    </w:p>
    <w:p w14:paraId="4812D7D2" w14:textId="77777777" w:rsidR="00082F78" w:rsidRPr="00B96CAA" w:rsidRDefault="00082F78" w:rsidP="00082F78">
      <w:pPr>
        <w:ind w:firstLine="720"/>
        <w:jc w:val="both"/>
        <w:rPr>
          <w:rFonts w:eastAsia="Times New Roman" w:cs="Times New Roman"/>
          <w:color w:val="000000" w:themeColor="text1"/>
          <w:szCs w:val="24"/>
        </w:rPr>
      </w:pPr>
      <w:r w:rsidRPr="00B96CAA">
        <w:rPr>
          <w:rFonts w:eastAsia="Times New Roman" w:cs="Times New Roman"/>
          <w:color w:val="000000" w:themeColor="text1"/>
          <w:szCs w:val="24"/>
        </w:rPr>
        <w:t xml:space="preserve">The Court held that the </w:t>
      </w:r>
      <w:r w:rsidRPr="00B96CAA">
        <w:rPr>
          <w:rFonts w:eastAsia="Times New Roman" w:cs="Times New Roman"/>
          <w:i/>
          <w:color w:val="000000" w:themeColor="text1"/>
          <w:szCs w:val="24"/>
        </w:rPr>
        <w:t xml:space="preserve">Pickering </w:t>
      </w:r>
      <w:r w:rsidRPr="00B96CAA">
        <w:rPr>
          <w:rFonts w:eastAsia="Times New Roman" w:cs="Times New Roman"/>
          <w:color w:val="000000" w:themeColor="text1"/>
          <w:szCs w:val="24"/>
        </w:rPr>
        <w:t xml:space="preserve">framework did not apply to the challenge to the agency-fee scheme, observing that </w:t>
      </w:r>
      <w:proofErr w:type="spellStart"/>
      <w:r w:rsidRPr="00B96CAA">
        <w:rPr>
          <w:rFonts w:eastAsia="Times New Roman" w:cs="Times New Roman"/>
          <w:i/>
          <w:color w:val="000000" w:themeColor="text1"/>
          <w:szCs w:val="24"/>
        </w:rPr>
        <w:t>Abood</w:t>
      </w:r>
      <w:proofErr w:type="spellEnd"/>
      <w:r w:rsidRPr="00B96CAA">
        <w:rPr>
          <w:rFonts w:eastAsia="Times New Roman" w:cs="Times New Roman"/>
          <w:color w:val="000000" w:themeColor="text1"/>
          <w:szCs w:val="24"/>
        </w:rPr>
        <w:t xml:space="preserve"> did not rely on </w:t>
      </w:r>
      <w:r w:rsidRPr="00B96CAA">
        <w:rPr>
          <w:rFonts w:eastAsia="Times New Roman" w:cs="Times New Roman"/>
          <w:i/>
          <w:color w:val="000000" w:themeColor="text1"/>
          <w:szCs w:val="24"/>
        </w:rPr>
        <w:t>Pickering</w:t>
      </w:r>
      <w:r w:rsidRPr="00B96CAA">
        <w:rPr>
          <w:rFonts w:eastAsia="Times New Roman" w:cs="Times New Roman"/>
          <w:color w:val="000000" w:themeColor="text1"/>
          <w:szCs w:val="24"/>
        </w:rPr>
        <w:t xml:space="preserve"> and that the framework did not fit the issues presented in </w:t>
      </w:r>
      <w:proofErr w:type="spellStart"/>
      <w:r w:rsidRPr="00B96CAA">
        <w:rPr>
          <w:rFonts w:eastAsia="Times New Roman" w:cs="Times New Roman"/>
          <w:i/>
          <w:color w:val="000000" w:themeColor="text1"/>
          <w:szCs w:val="24"/>
        </w:rPr>
        <w:t>Abood</w:t>
      </w:r>
      <w:proofErr w:type="spellEnd"/>
      <w:r w:rsidRPr="00B96CAA">
        <w:rPr>
          <w:rFonts w:eastAsia="Times New Roman" w:cs="Times New Roman"/>
          <w:color w:val="000000" w:themeColor="text1"/>
          <w:szCs w:val="24"/>
        </w:rPr>
        <w:t xml:space="preserve">. First, the </w:t>
      </w:r>
      <w:r w:rsidRPr="00B96CAA">
        <w:rPr>
          <w:rFonts w:eastAsia="Times New Roman" w:cs="Times New Roman"/>
          <w:i/>
          <w:color w:val="000000" w:themeColor="text1"/>
          <w:szCs w:val="24"/>
        </w:rPr>
        <w:t xml:space="preserve">Pickering </w:t>
      </w:r>
      <w:r w:rsidRPr="00B96CAA">
        <w:rPr>
          <w:rFonts w:eastAsia="Times New Roman" w:cs="Times New Roman"/>
          <w:color w:val="000000" w:themeColor="text1"/>
          <w:szCs w:val="24"/>
        </w:rPr>
        <w:t xml:space="preserve">framework was developed only to analyze cases involving a single employee’s speech and the impact on that employee’s duties, not “a blanket requirement that all employees subsidize speech with which they do not agree.” Second, the framework fit less well where the government compelled speech or required employees to subsidize a third party’s speech. Finally, </w:t>
      </w:r>
      <w:r w:rsidRPr="00B96CAA">
        <w:rPr>
          <w:rFonts w:eastAsia="Times New Roman" w:cs="Times New Roman"/>
          <w:i/>
          <w:color w:val="000000" w:themeColor="text1"/>
          <w:szCs w:val="24"/>
        </w:rPr>
        <w:t xml:space="preserve">Pickering </w:t>
      </w:r>
      <w:r w:rsidRPr="00B96CAA">
        <w:rPr>
          <w:rFonts w:eastAsia="Times New Roman" w:cs="Times New Roman"/>
          <w:color w:val="000000" w:themeColor="text1"/>
          <w:szCs w:val="24"/>
        </w:rPr>
        <w:t xml:space="preserve">and </w:t>
      </w:r>
      <w:proofErr w:type="spellStart"/>
      <w:r w:rsidRPr="00B96CAA">
        <w:rPr>
          <w:rFonts w:eastAsia="Times New Roman" w:cs="Times New Roman"/>
          <w:i/>
          <w:color w:val="000000" w:themeColor="text1"/>
          <w:szCs w:val="24"/>
        </w:rPr>
        <w:t>Abood</w:t>
      </w:r>
      <w:proofErr w:type="spellEnd"/>
      <w:r w:rsidRPr="00B96CAA">
        <w:rPr>
          <w:rFonts w:eastAsia="Times New Roman" w:cs="Times New Roman"/>
          <w:color w:val="000000" w:themeColor="text1"/>
          <w:szCs w:val="24"/>
        </w:rPr>
        <w:t xml:space="preserve"> required different categorizations of speech that were incompatible. </w:t>
      </w:r>
    </w:p>
    <w:p w14:paraId="15EE77B2" w14:textId="77777777" w:rsidR="00082F78" w:rsidRPr="00B96CAA" w:rsidRDefault="00082F78" w:rsidP="00082F78">
      <w:pPr>
        <w:ind w:firstLine="720"/>
        <w:jc w:val="both"/>
        <w:rPr>
          <w:rFonts w:eastAsia="Times New Roman" w:cs="Times New Roman"/>
          <w:color w:val="000000" w:themeColor="text1"/>
          <w:szCs w:val="24"/>
        </w:rPr>
      </w:pPr>
      <w:r w:rsidRPr="00B96CAA">
        <w:rPr>
          <w:rFonts w:eastAsia="Times New Roman" w:cs="Times New Roman"/>
          <w:color w:val="000000" w:themeColor="text1"/>
          <w:szCs w:val="24"/>
        </w:rPr>
        <w:t xml:space="preserve">Even if </w:t>
      </w:r>
      <w:r w:rsidRPr="00B96CAA">
        <w:rPr>
          <w:rFonts w:eastAsia="Times New Roman" w:cs="Times New Roman"/>
          <w:i/>
          <w:color w:val="000000" w:themeColor="text1"/>
          <w:szCs w:val="24"/>
        </w:rPr>
        <w:t>Pickering</w:t>
      </w:r>
      <w:r w:rsidRPr="00B96CAA">
        <w:rPr>
          <w:rFonts w:eastAsia="Times New Roman" w:cs="Times New Roman"/>
          <w:color w:val="000000" w:themeColor="text1"/>
          <w:szCs w:val="24"/>
        </w:rPr>
        <w:t xml:space="preserve"> did apply, the agency-fee scheme still would not survive. </w:t>
      </w:r>
    </w:p>
    <w:p w14:paraId="7872AA6C" w14:textId="77777777" w:rsidR="00082F78" w:rsidRPr="00B96CAA" w:rsidRDefault="00082F78" w:rsidP="00082F78">
      <w:pPr>
        <w:ind w:left="720" w:right="720"/>
        <w:jc w:val="both"/>
        <w:rPr>
          <w:rFonts w:eastAsia="Times New Roman" w:cs="Times New Roman"/>
          <w:color w:val="000000" w:themeColor="text1"/>
          <w:szCs w:val="24"/>
        </w:rPr>
      </w:pPr>
      <w:r w:rsidRPr="00B96CAA">
        <w:rPr>
          <w:rFonts w:eastAsia="Times New Roman" w:cs="Times New Roman"/>
          <w:color w:val="000000" w:themeColor="text1"/>
          <w:szCs w:val="24"/>
        </w:rPr>
        <w:t>When an employee engages in speech that is part of the employee's job duties, the employee's words are really the words of the employer. The employee is effectively the employer's spokesperson. But when a union negotiates with the employer or represents employees in disciplinary proceedings, the union speaks for the </w:t>
      </w:r>
      <w:r w:rsidRPr="00B96CAA">
        <w:rPr>
          <w:rFonts w:eastAsia="Times New Roman" w:cs="Times New Roman"/>
          <w:i/>
          <w:iCs/>
          <w:color w:val="000000" w:themeColor="text1"/>
          <w:szCs w:val="24"/>
        </w:rPr>
        <w:t>employees,</w:t>
      </w:r>
      <w:r w:rsidRPr="00B96CAA">
        <w:rPr>
          <w:rFonts w:eastAsia="Times New Roman" w:cs="Times New Roman"/>
          <w:color w:val="000000" w:themeColor="text1"/>
          <w:szCs w:val="24"/>
        </w:rPr>
        <w:t> not the employer. Otherwise, the employer would be negotiating with itself and disputing its own actions. That is not what anybody understands to be happening.</w:t>
      </w:r>
    </w:p>
    <w:p w14:paraId="585251FC" w14:textId="77777777" w:rsidR="00082F78" w:rsidRPr="00B96CAA" w:rsidRDefault="00082F78" w:rsidP="00082F78">
      <w:pPr>
        <w:jc w:val="both"/>
        <w:rPr>
          <w:rFonts w:eastAsia="Times New Roman" w:cs="Times New Roman"/>
          <w:color w:val="000000" w:themeColor="text1"/>
          <w:szCs w:val="24"/>
        </w:rPr>
      </w:pPr>
      <w:r w:rsidRPr="00B96CAA">
        <w:rPr>
          <w:rFonts w:eastAsia="Times New Roman" w:cs="Times New Roman"/>
          <w:color w:val="000000" w:themeColor="text1"/>
          <w:szCs w:val="24"/>
        </w:rPr>
        <w:tab/>
        <w:t>The Court found the wages, hours, and terms of employment of public employees to be matters of significant public importance. Therefore, requiring an employee to subsidize even the Union’s contract negotiations violated the free speech rights of employees who opposed the Union’s bargaining positions. The Court continued:</w:t>
      </w:r>
    </w:p>
    <w:p w14:paraId="0D88E626" w14:textId="77777777" w:rsidR="00082F78" w:rsidRPr="00B96CAA" w:rsidRDefault="00082F78" w:rsidP="00082F78">
      <w:pPr>
        <w:ind w:left="720" w:right="720" w:hanging="720"/>
        <w:jc w:val="both"/>
        <w:rPr>
          <w:rFonts w:eastAsia="Times New Roman" w:cs="Times New Roman"/>
          <w:color w:val="000000" w:themeColor="text1"/>
          <w:szCs w:val="24"/>
        </w:rPr>
      </w:pPr>
      <w:r w:rsidRPr="00B96CAA">
        <w:rPr>
          <w:rFonts w:eastAsia="Times New Roman" w:cs="Times New Roman"/>
          <w:color w:val="000000" w:themeColor="text1"/>
          <w:szCs w:val="24"/>
        </w:rPr>
        <w:lastRenderedPageBreak/>
        <w:tab/>
        <w:t xml:space="preserve">In addition to affecting how public money is spent, union speech in collective bargaining addresses many other important matters. As the examples offered by respondent’s own </w:t>
      </w:r>
      <w:r w:rsidRPr="00B96CAA">
        <w:rPr>
          <w:rFonts w:eastAsia="Times New Roman" w:cs="Times New Roman"/>
          <w:i/>
          <w:color w:val="000000" w:themeColor="text1"/>
          <w:szCs w:val="24"/>
        </w:rPr>
        <w:t xml:space="preserve">amici </w:t>
      </w:r>
      <w:r w:rsidRPr="00B96CAA">
        <w:rPr>
          <w:rFonts w:eastAsia="Times New Roman" w:cs="Times New Roman"/>
          <w:color w:val="000000" w:themeColor="text1"/>
          <w:szCs w:val="24"/>
        </w:rPr>
        <w:t>show, unions express views on a wide range of subjects—education, child welfare, healthcare, and minority rights, to name a few.... What unions have to say on these matters in the context of collective bargaining is of great public importance.</w:t>
      </w:r>
    </w:p>
    <w:p w14:paraId="78903D01" w14:textId="77777777" w:rsidR="00082F78" w:rsidRPr="00B96CAA" w:rsidRDefault="00082F78" w:rsidP="00082F78">
      <w:pPr>
        <w:jc w:val="both"/>
        <w:rPr>
          <w:rFonts w:eastAsia="Times New Roman" w:cs="Times New Roman"/>
          <w:color w:val="000000" w:themeColor="text1"/>
          <w:szCs w:val="24"/>
        </w:rPr>
      </w:pPr>
      <w:r w:rsidRPr="00B96CAA">
        <w:rPr>
          <w:rFonts w:eastAsia="Times New Roman" w:cs="Times New Roman"/>
          <w:color w:val="000000" w:themeColor="text1"/>
          <w:szCs w:val="24"/>
        </w:rPr>
        <w:tab/>
        <w:t>The supposed state interest in bargaining with an adequately funded exclusive bargaining representative did not justify this intrusion into employees’ free speech rights regarding matters of public concern.</w:t>
      </w:r>
    </w:p>
    <w:p w14:paraId="0CB95549" w14:textId="31E0048B" w:rsidR="00082F78" w:rsidRPr="00B96CAA" w:rsidRDefault="00082F78" w:rsidP="00082F78">
      <w:pPr>
        <w:widowControl w:val="0"/>
        <w:autoSpaceDE w:val="0"/>
        <w:autoSpaceDN w:val="0"/>
        <w:adjustRightInd w:val="0"/>
        <w:spacing w:after="240"/>
        <w:ind w:left="720" w:right="720"/>
        <w:jc w:val="both"/>
        <w:rPr>
          <w:rFonts w:cs="Times New Roman"/>
          <w:color w:val="000000" w:themeColor="text1"/>
          <w:szCs w:val="24"/>
        </w:rPr>
      </w:pPr>
      <w:r w:rsidRPr="00B96CAA">
        <w:rPr>
          <w:rFonts w:cs="Times New Roman"/>
          <w:color w:val="000000" w:themeColor="text1"/>
          <w:szCs w:val="24"/>
        </w:rPr>
        <w:t xml:space="preserve">We readily acknowledge, as </w:t>
      </w:r>
      <w:r w:rsidRPr="00B96CAA">
        <w:rPr>
          <w:rFonts w:cs="Times New Roman"/>
          <w:i/>
          <w:iCs/>
          <w:color w:val="000000" w:themeColor="text1"/>
          <w:szCs w:val="24"/>
        </w:rPr>
        <w:t xml:space="preserve">Pickering </w:t>
      </w:r>
      <w:r w:rsidRPr="00B96CAA">
        <w:rPr>
          <w:rFonts w:cs="Times New Roman"/>
          <w:color w:val="000000" w:themeColor="text1"/>
          <w:szCs w:val="24"/>
        </w:rPr>
        <w:t>did, that “the State has interests as an employer</w:t>
      </w:r>
      <w:r w:rsidRPr="00B96CAA">
        <w:rPr>
          <w:rFonts w:ascii="MS Mincho" w:eastAsia="MS Mincho" w:hAnsi="MS Mincho" w:cs="MS Mincho"/>
          <w:color w:val="000000" w:themeColor="text1"/>
          <w:szCs w:val="24"/>
        </w:rPr>
        <w:t> </w:t>
      </w:r>
      <w:r w:rsidRPr="00B96CAA">
        <w:rPr>
          <w:rFonts w:cs="Times New Roman"/>
          <w:color w:val="000000" w:themeColor="text1"/>
          <w:szCs w:val="24"/>
        </w:rPr>
        <w:t xml:space="preserve">in regulating the speech of its employees that differ significantly from those it possesses in connection with regulation of the speech of the citizenry in general.” Our analysis is consistent with that principle. The exacting scrutiny standard we apply in this case was developed in the context of commercial speech, another area where the government has traditionally enjoyed greater-than-usual power to regulate speech…. It is also not disputed that the State may require that a union serve as exclusive bargaining agent for its employees—itself a significant impingement on associational freedoms that would not be tolerated in other contexts. We simply draw the line at allowing the government to go further still and require all employees to support the union irrespective of whether they share its views. Nothing in the </w:t>
      </w:r>
      <w:r w:rsidRPr="00B96CAA">
        <w:rPr>
          <w:rFonts w:cs="Times New Roman"/>
          <w:i/>
          <w:iCs/>
          <w:color w:val="000000" w:themeColor="text1"/>
          <w:szCs w:val="24"/>
        </w:rPr>
        <w:t xml:space="preserve">Pickering </w:t>
      </w:r>
      <w:r w:rsidRPr="00B96CAA">
        <w:rPr>
          <w:rFonts w:cs="Times New Roman"/>
          <w:color w:val="000000" w:themeColor="text1"/>
          <w:szCs w:val="24"/>
        </w:rPr>
        <w:t xml:space="preserve">line of cases requires us to uphold every speech restriction the government imposes as an employer. </w:t>
      </w:r>
    </w:p>
    <w:p w14:paraId="3D097FD3" w14:textId="77777777" w:rsidR="00082F78" w:rsidRPr="00B96CAA" w:rsidRDefault="00082F78" w:rsidP="00082F78">
      <w:pPr>
        <w:widowControl w:val="0"/>
        <w:autoSpaceDE w:val="0"/>
        <w:autoSpaceDN w:val="0"/>
        <w:adjustRightInd w:val="0"/>
        <w:spacing w:after="240"/>
        <w:ind w:firstLine="720"/>
        <w:jc w:val="both"/>
        <w:rPr>
          <w:rFonts w:cs="Times New Roman"/>
          <w:color w:val="000000" w:themeColor="text1"/>
          <w:szCs w:val="24"/>
        </w:rPr>
      </w:pPr>
      <w:r w:rsidRPr="00B96CAA">
        <w:rPr>
          <w:rFonts w:cs="Times New Roman"/>
          <w:color w:val="000000" w:themeColor="text1"/>
          <w:szCs w:val="24"/>
        </w:rPr>
        <w:t xml:space="preserve">Finally, the Court concluded that </w:t>
      </w:r>
      <w:r w:rsidRPr="00B96CAA">
        <w:rPr>
          <w:rFonts w:cs="Times New Roman"/>
          <w:i/>
          <w:color w:val="000000" w:themeColor="text1"/>
          <w:szCs w:val="24"/>
        </w:rPr>
        <w:t xml:space="preserve">stare decisis </w:t>
      </w:r>
      <w:r w:rsidRPr="00B96CAA">
        <w:rPr>
          <w:rFonts w:cs="Times New Roman"/>
          <w:color w:val="000000" w:themeColor="text1"/>
          <w:szCs w:val="24"/>
        </w:rPr>
        <w:t xml:space="preserve">did not counsel against overruling </w:t>
      </w:r>
      <w:proofErr w:type="spellStart"/>
      <w:r w:rsidRPr="00B96CAA">
        <w:rPr>
          <w:rFonts w:cs="Times New Roman"/>
          <w:i/>
          <w:color w:val="000000" w:themeColor="text1"/>
          <w:szCs w:val="24"/>
        </w:rPr>
        <w:t>Abood</w:t>
      </w:r>
      <w:proofErr w:type="spellEnd"/>
      <w:r w:rsidRPr="00B96CAA">
        <w:rPr>
          <w:rFonts w:cs="Times New Roman"/>
          <w:color w:val="000000" w:themeColor="text1"/>
          <w:szCs w:val="24"/>
        </w:rPr>
        <w:t xml:space="preserve"> on the grounds that </w:t>
      </w:r>
      <w:proofErr w:type="spellStart"/>
      <w:r w:rsidRPr="00B96CAA">
        <w:rPr>
          <w:rFonts w:cs="Times New Roman"/>
          <w:i/>
          <w:color w:val="000000" w:themeColor="text1"/>
          <w:szCs w:val="24"/>
        </w:rPr>
        <w:t>Abood</w:t>
      </w:r>
      <w:proofErr w:type="spellEnd"/>
      <w:r w:rsidRPr="00B96CAA">
        <w:rPr>
          <w:rFonts w:cs="Times New Roman"/>
          <w:i/>
          <w:color w:val="000000" w:themeColor="text1"/>
          <w:szCs w:val="24"/>
        </w:rPr>
        <w:t xml:space="preserve"> </w:t>
      </w:r>
      <w:r w:rsidRPr="00B96CAA">
        <w:rPr>
          <w:rFonts w:cs="Times New Roman"/>
          <w:color w:val="000000" w:themeColor="text1"/>
          <w:szCs w:val="24"/>
        </w:rPr>
        <w:t>was poorly reasoned, unworkable, and no longer suited to the legal and economic environment that had arisen since it was decided.</w:t>
      </w:r>
    </w:p>
    <w:p w14:paraId="3079A53C" w14:textId="77777777" w:rsidR="00082F78" w:rsidRPr="00B96CAA" w:rsidRDefault="00082F78" w:rsidP="00082F78">
      <w:pPr>
        <w:widowControl w:val="0"/>
        <w:autoSpaceDE w:val="0"/>
        <w:autoSpaceDN w:val="0"/>
        <w:adjustRightInd w:val="0"/>
        <w:spacing w:after="240"/>
        <w:ind w:firstLine="720"/>
        <w:jc w:val="both"/>
        <w:rPr>
          <w:rFonts w:cs="Times New Roman"/>
          <w:color w:val="000000" w:themeColor="text1"/>
          <w:szCs w:val="24"/>
        </w:rPr>
      </w:pPr>
      <w:r w:rsidRPr="00B96CAA">
        <w:rPr>
          <w:rFonts w:cs="Times New Roman"/>
          <w:color w:val="000000" w:themeColor="text1"/>
          <w:szCs w:val="24"/>
        </w:rPr>
        <w:t xml:space="preserve">Dissenting, Justice Kagan, joined by Justices Ginsburg, Breyer, and Sotomayor, argued that the Court overruled </w:t>
      </w:r>
      <w:proofErr w:type="spellStart"/>
      <w:r w:rsidRPr="00B96CAA">
        <w:rPr>
          <w:rFonts w:cs="Times New Roman"/>
          <w:i/>
          <w:color w:val="000000" w:themeColor="text1"/>
          <w:szCs w:val="24"/>
        </w:rPr>
        <w:t>Abood</w:t>
      </w:r>
      <w:proofErr w:type="spellEnd"/>
      <w:r w:rsidRPr="00B96CAA">
        <w:rPr>
          <w:rFonts w:cs="Times New Roman"/>
          <w:i/>
          <w:color w:val="000000" w:themeColor="text1"/>
          <w:szCs w:val="24"/>
        </w:rPr>
        <w:t xml:space="preserve"> </w:t>
      </w:r>
      <w:r w:rsidRPr="00B96CAA">
        <w:rPr>
          <w:rFonts w:cs="Times New Roman"/>
          <w:color w:val="000000" w:themeColor="text1"/>
          <w:szCs w:val="24"/>
        </w:rPr>
        <w:t xml:space="preserve">with “little regard for the usual principles of </w:t>
      </w:r>
      <w:r w:rsidRPr="00B96CAA">
        <w:rPr>
          <w:rFonts w:cs="Times New Roman"/>
          <w:i/>
          <w:color w:val="000000" w:themeColor="text1"/>
          <w:szCs w:val="24"/>
        </w:rPr>
        <w:t>stare decisis</w:t>
      </w:r>
      <w:r w:rsidRPr="00B96CAA">
        <w:rPr>
          <w:rFonts w:cs="Times New Roman"/>
          <w:color w:val="000000" w:themeColor="text1"/>
          <w:szCs w:val="24"/>
        </w:rPr>
        <w:t>, and</w:t>
      </w:r>
      <w:r w:rsidRPr="00B96CAA">
        <w:rPr>
          <w:rFonts w:cs="Times New Roman"/>
          <w:i/>
          <w:color w:val="000000" w:themeColor="text1"/>
          <w:szCs w:val="24"/>
        </w:rPr>
        <w:t xml:space="preserve"> </w:t>
      </w:r>
      <w:r w:rsidRPr="00B96CAA">
        <w:rPr>
          <w:rFonts w:cs="Times New Roman"/>
          <w:color w:val="000000" w:themeColor="text1"/>
          <w:szCs w:val="24"/>
        </w:rPr>
        <w:t>predicted:</w:t>
      </w:r>
    </w:p>
    <w:p w14:paraId="45C4B1A2" w14:textId="77777777" w:rsidR="00082F78" w:rsidRPr="00B96CAA" w:rsidRDefault="00082F78" w:rsidP="00082F78">
      <w:pPr>
        <w:widowControl w:val="0"/>
        <w:autoSpaceDE w:val="0"/>
        <w:autoSpaceDN w:val="0"/>
        <w:adjustRightInd w:val="0"/>
        <w:spacing w:after="240"/>
        <w:ind w:left="720" w:right="720"/>
        <w:jc w:val="both"/>
        <w:rPr>
          <w:rFonts w:cs="Times New Roman"/>
          <w:color w:val="000000" w:themeColor="text1"/>
          <w:szCs w:val="24"/>
        </w:rPr>
      </w:pPr>
      <w:r w:rsidRPr="00B96CAA">
        <w:rPr>
          <w:rFonts w:cs="Times New Roman"/>
          <w:color w:val="000000" w:themeColor="text1"/>
          <w:szCs w:val="24"/>
        </w:rPr>
        <w:t>[The Court’s] decision will have large-scale consequences. Public employee unions will lose a secure source of financial support. State and local governments that thought fair-share provisions furthered their interests will need to find new ways of managing their workforces. Across the country, the relationships of public employees and employers will alter in both predictable and wholly unexpected ways.</w:t>
      </w:r>
    </w:p>
    <w:p w14:paraId="25DF6E97" w14:textId="77777777" w:rsidR="00082F78" w:rsidRPr="00B96CAA" w:rsidRDefault="00082F78" w:rsidP="00082F78">
      <w:pPr>
        <w:ind w:firstLine="720"/>
        <w:jc w:val="both"/>
        <w:rPr>
          <w:rFonts w:eastAsia="Times New Roman" w:cs="Times New Roman"/>
          <w:color w:val="000000" w:themeColor="text1"/>
          <w:szCs w:val="24"/>
        </w:rPr>
      </w:pPr>
      <w:r w:rsidRPr="00B96CAA">
        <w:rPr>
          <w:rFonts w:eastAsia="Times New Roman" w:cs="Times New Roman"/>
          <w:color w:val="000000" w:themeColor="text1"/>
          <w:szCs w:val="24"/>
        </w:rPr>
        <w:t xml:space="preserve">Justice Kagan argued that </w:t>
      </w:r>
      <w:proofErr w:type="spellStart"/>
      <w:r w:rsidRPr="00B96CAA">
        <w:rPr>
          <w:rFonts w:eastAsia="Times New Roman" w:cs="Times New Roman"/>
          <w:i/>
          <w:color w:val="000000" w:themeColor="text1"/>
          <w:szCs w:val="24"/>
        </w:rPr>
        <w:t>Abood</w:t>
      </w:r>
      <w:proofErr w:type="spellEnd"/>
      <w:r w:rsidRPr="00B96CAA">
        <w:rPr>
          <w:rFonts w:eastAsia="Times New Roman" w:cs="Times New Roman"/>
          <w:color w:val="000000" w:themeColor="text1"/>
          <w:szCs w:val="24"/>
        </w:rPr>
        <w:t xml:space="preserve"> struck an appropriate balance between the government employer’s interests in maintaining labor peace and preventing free riders, and public employees’ </w:t>
      </w:r>
      <w:r w:rsidRPr="00B96CAA">
        <w:rPr>
          <w:rFonts w:eastAsia="Times New Roman" w:cs="Times New Roman"/>
          <w:color w:val="000000" w:themeColor="text1"/>
          <w:szCs w:val="24"/>
        </w:rPr>
        <w:lastRenderedPageBreak/>
        <w:t>free speech interests by prohibiting the assessment of fees to nonmembers that accounted for the union’s overtly political activities. Without agency fees from nonmembers, Kagan wrote:</w:t>
      </w:r>
    </w:p>
    <w:p w14:paraId="7D995088" w14:textId="77777777" w:rsidR="00082F78" w:rsidRPr="00B96CAA" w:rsidRDefault="00082F78" w:rsidP="00082F78">
      <w:pPr>
        <w:ind w:left="720" w:right="720"/>
        <w:jc w:val="both"/>
        <w:rPr>
          <w:rFonts w:eastAsia="Times New Roman" w:cs="Times New Roman"/>
          <w:color w:val="000000" w:themeColor="text1"/>
          <w:szCs w:val="24"/>
        </w:rPr>
      </w:pPr>
      <w:r w:rsidRPr="00B96CAA">
        <w:rPr>
          <w:rFonts w:eastAsia="Times New Roman" w:cs="Times New Roman"/>
          <w:color w:val="000000" w:themeColor="text1"/>
          <w:szCs w:val="24"/>
        </w:rPr>
        <w:t xml:space="preserve">Everyone—not just those who opposed the union, but also those who back it—has an economic incentive to withhold dues; only altruism or loyalty—as </w:t>
      </w:r>
      <w:r w:rsidRPr="00B96CAA">
        <w:rPr>
          <w:rFonts w:eastAsia="Times New Roman" w:cs="Times New Roman"/>
          <w:i/>
          <w:color w:val="000000" w:themeColor="text1"/>
          <w:szCs w:val="24"/>
        </w:rPr>
        <w:t>against</w:t>
      </w:r>
      <w:r w:rsidRPr="00B96CAA">
        <w:rPr>
          <w:rFonts w:eastAsia="Times New Roman" w:cs="Times New Roman"/>
          <w:color w:val="000000" w:themeColor="text1"/>
          <w:szCs w:val="24"/>
        </w:rPr>
        <w:t xml:space="preserve"> financial self-interest—can explain why an employee would pay the union for its services. And so emerged </w:t>
      </w:r>
      <w:proofErr w:type="spellStart"/>
      <w:r w:rsidRPr="00B96CAA">
        <w:rPr>
          <w:rFonts w:eastAsia="Times New Roman" w:cs="Times New Roman"/>
          <w:i/>
          <w:color w:val="000000" w:themeColor="text1"/>
          <w:szCs w:val="24"/>
        </w:rPr>
        <w:t>Abood</w:t>
      </w:r>
      <w:r w:rsidRPr="00B96CAA">
        <w:rPr>
          <w:rFonts w:eastAsia="Times New Roman" w:cs="Times New Roman"/>
          <w:color w:val="000000" w:themeColor="text1"/>
          <w:szCs w:val="24"/>
        </w:rPr>
        <w:t>’s</w:t>
      </w:r>
      <w:proofErr w:type="spellEnd"/>
      <w:r w:rsidRPr="00B96CAA">
        <w:rPr>
          <w:rFonts w:eastAsia="Times New Roman" w:cs="Times New Roman"/>
          <w:color w:val="000000" w:themeColor="text1"/>
          <w:szCs w:val="24"/>
        </w:rPr>
        <w:t xml:space="preserve"> rule allowing fair-share agreements: That rule ensured that a union would receive sufficient funds, … to effectively carry out its duties as exclusive representative of the government’s employees.</w:t>
      </w:r>
    </w:p>
    <w:p w14:paraId="67092BA1" w14:textId="77777777" w:rsidR="00082F78" w:rsidRPr="00B96CAA" w:rsidRDefault="00082F78" w:rsidP="00082F78">
      <w:pPr>
        <w:ind w:firstLine="720"/>
        <w:jc w:val="both"/>
        <w:rPr>
          <w:rFonts w:eastAsia="Times New Roman" w:cs="Times New Roman"/>
          <w:color w:val="000000" w:themeColor="text1"/>
          <w:szCs w:val="24"/>
        </w:rPr>
      </w:pPr>
      <w:r w:rsidRPr="00B96CAA">
        <w:rPr>
          <w:rFonts w:eastAsia="Times New Roman" w:cs="Times New Roman"/>
          <w:color w:val="000000" w:themeColor="text1"/>
          <w:szCs w:val="24"/>
        </w:rPr>
        <w:t>For the dissenters, the Court’s decision represented an expansion of First Amendment protections that intruded upon the general rule that government employers enjoyed “substantial latitude... in recognition of its significant interests in managing its workforce so as to best serve the public.” Justice Kagan continued:</w:t>
      </w:r>
    </w:p>
    <w:p w14:paraId="35B57041" w14:textId="1E8DB2D1" w:rsidR="00082F78" w:rsidRPr="00B96CAA" w:rsidRDefault="00082F78" w:rsidP="00082F78">
      <w:pPr>
        <w:widowControl w:val="0"/>
        <w:autoSpaceDE w:val="0"/>
        <w:autoSpaceDN w:val="0"/>
        <w:adjustRightInd w:val="0"/>
        <w:spacing w:after="240"/>
        <w:ind w:left="720" w:right="720"/>
        <w:jc w:val="both"/>
        <w:rPr>
          <w:rFonts w:ascii="Times" w:hAnsi="Times" w:cs="Times"/>
          <w:color w:val="000000" w:themeColor="text1"/>
          <w:szCs w:val="24"/>
        </w:rPr>
      </w:pPr>
      <w:r w:rsidRPr="00B96CAA">
        <w:rPr>
          <w:rFonts w:eastAsia="Times New Roman" w:cs="Times New Roman"/>
          <w:color w:val="000000" w:themeColor="text1"/>
          <w:szCs w:val="24"/>
        </w:rPr>
        <w:t xml:space="preserve">Indeed, [the Court’s] reversal today creates a significant anomaly—an exception, applying to union fees alone, from the usual rules governing public employee’s speech. “Time and again our cases have recognized that the Government has a much freer hand” in dealing with its employees than with “citizens at large.” </w:t>
      </w:r>
      <w:r w:rsidRPr="00B96CAA">
        <w:rPr>
          <w:rFonts w:eastAsia="Times New Roman" w:cs="Times New Roman"/>
          <w:i/>
          <w:color w:val="000000" w:themeColor="text1"/>
          <w:szCs w:val="24"/>
        </w:rPr>
        <w:t>NASA v. Nelson</w:t>
      </w:r>
      <w:r w:rsidRPr="00B96CAA">
        <w:rPr>
          <w:rFonts w:eastAsia="Times New Roman" w:cs="Times New Roman"/>
          <w:color w:val="000000" w:themeColor="text1"/>
          <w:szCs w:val="24"/>
        </w:rPr>
        <w:t xml:space="preserve"> (2011). The government, we have stated, needs to run “as effectively and efficiently as possible.” </w:t>
      </w:r>
      <w:proofErr w:type="spellStart"/>
      <w:r w:rsidRPr="00B96CAA">
        <w:rPr>
          <w:rFonts w:eastAsia="Times New Roman" w:cs="Times New Roman"/>
          <w:i/>
          <w:color w:val="000000" w:themeColor="text1"/>
          <w:szCs w:val="24"/>
        </w:rPr>
        <w:t>Engquist</w:t>
      </w:r>
      <w:proofErr w:type="spellEnd"/>
      <w:r w:rsidRPr="00B96CAA">
        <w:rPr>
          <w:rFonts w:eastAsia="Times New Roman" w:cs="Times New Roman"/>
          <w:i/>
          <w:color w:val="000000" w:themeColor="text1"/>
          <w:szCs w:val="24"/>
        </w:rPr>
        <w:t xml:space="preserve"> v. Oregon Dept. of Agriculture</w:t>
      </w:r>
      <w:r w:rsidR="00B96CAA" w:rsidRPr="00B96CAA">
        <w:rPr>
          <w:rFonts w:eastAsia="Times New Roman" w:cs="Times New Roman"/>
          <w:i/>
          <w:color w:val="000000" w:themeColor="text1"/>
          <w:szCs w:val="24"/>
        </w:rPr>
        <w:t xml:space="preserve"> </w:t>
      </w:r>
      <w:r w:rsidRPr="00B96CAA">
        <w:rPr>
          <w:rFonts w:eastAsia="Times New Roman" w:cs="Times New Roman"/>
          <w:color w:val="000000" w:themeColor="text1"/>
          <w:szCs w:val="24"/>
        </w:rPr>
        <w:t xml:space="preserve">(2008). That means it must be able, much as a private employer is, to manage its workforce as it thinks fit. </w:t>
      </w:r>
      <w:r w:rsidRPr="00B96CAA">
        <w:rPr>
          <w:rFonts w:ascii="Times" w:hAnsi="Times" w:cs="Times"/>
          <w:color w:val="000000" w:themeColor="text1"/>
          <w:szCs w:val="24"/>
        </w:rPr>
        <w:t xml:space="preserve">That means it must be able, much as a private employer is, to manage its workforce as it thinks fit. A public employee thus must submit to “certain limitations on his or her freedom.” </w:t>
      </w:r>
      <w:proofErr w:type="spellStart"/>
      <w:r w:rsidRPr="00B96CAA">
        <w:rPr>
          <w:rFonts w:ascii="Times" w:hAnsi="Times" w:cs="Times"/>
          <w:i/>
          <w:iCs/>
          <w:color w:val="000000" w:themeColor="text1"/>
          <w:szCs w:val="24"/>
        </w:rPr>
        <w:t>Garcetti</w:t>
      </w:r>
      <w:proofErr w:type="spellEnd"/>
      <w:r w:rsidRPr="00B96CAA">
        <w:rPr>
          <w:rFonts w:ascii="Times" w:hAnsi="Times" w:cs="Times"/>
          <w:i/>
          <w:iCs/>
          <w:color w:val="000000" w:themeColor="text1"/>
          <w:szCs w:val="24"/>
        </w:rPr>
        <w:t xml:space="preserve"> v. Ceballos</w:t>
      </w:r>
      <w:r w:rsidRPr="00B96CAA">
        <w:rPr>
          <w:rFonts w:ascii="Times" w:hAnsi="Times" w:cs="Times"/>
          <w:color w:val="000000" w:themeColor="text1"/>
          <w:szCs w:val="24"/>
        </w:rPr>
        <w:t xml:space="preserve"> (2006). Government workers, of course, do not wholly “lose their constitutional rights when they accept their positions.” </w:t>
      </w:r>
      <w:proofErr w:type="spellStart"/>
      <w:r w:rsidRPr="00B96CAA">
        <w:rPr>
          <w:rFonts w:ascii="Times" w:hAnsi="Times" w:cs="Times"/>
          <w:i/>
          <w:iCs/>
          <w:color w:val="000000" w:themeColor="text1"/>
          <w:szCs w:val="24"/>
        </w:rPr>
        <w:t>Engquist</w:t>
      </w:r>
      <w:proofErr w:type="spellEnd"/>
      <w:r w:rsidRPr="00B96CAA">
        <w:rPr>
          <w:rFonts w:ascii="Times" w:hAnsi="Times" w:cs="Times"/>
          <w:color w:val="000000" w:themeColor="text1"/>
          <w:szCs w:val="24"/>
        </w:rPr>
        <w:t>. But under our precedent, their rights often yield when weighed “against the realities of the employment context.” If it were otherwise—if every employment decision were to “</w:t>
      </w:r>
      <w:proofErr w:type="spellStart"/>
      <w:r w:rsidRPr="00B96CAA">
        <w:rPr>
          <w:rFonts w:ascii="Times" w:hAnsi="Times" w:cs="Times"/>
          <w:color w:val="000000" w:themeColor="text1"/>
          <w:szCs w:val="24"/>
        </w:rPr>
        <w:t>bec</w:t>
      </w:r>
      <w:proofErr w:type="spellEnd"/>
      <w:r w:rsidRPr="00B96CAA">
        <w:rPr>
          <w:rFonts w:ascii="Times" w:hAnsi="Times" w:cs="Times"/>
          <w:color w:val="000000" w:themeColor="text1"/>
          <w:szCs w:val="24"/>
        </w:rPr>
        <w:t xml:space="preserve">[o]me a constitutional matter”—“the Government could not function.” </w:t>
      </w:r>
      <w:r w:rsidRPr="00B96CAA">
        <w:rPr>
          <w:rFonts w:ascii="Times" w:hAnsi="Times" w:cs="Times"/>
          <w:i/>
          <w:iCs/>
          <w:color w:val="000000" w:themeColor="text1"/>
          <w:szCs w:val="24"/>
        </w:rPr>
        <w:t>NASA</w:t>
      </w:r>
      <w:r w:rsidRPr="00B96CAA">
        <w:rPr>
          <w:rFonts w:ascii="Times" w:hAnsi="Times" w:cs="Times"/>
          <w:color w:val="000000" w:themeColor="text1"/>
          <w:szCs w:val="24"/>
        </w:rPr>
        <w:t>.</w:t>
      </w:r>
    </w:p>
    <w:p w14:paraId="0CA050E6" w14:textId="77777777" w:rsidR="00082F78" w:rsidRPr="00B96CAA" w:rsidRDefault="00082F78" w:rsidP="00082F78">
      <w:pPr>
        <w:ind w:firstLine="720"/>
        <w:jc w:val="both"/>
        <w:rPr>
          <w:rFonts w:eastAsia="Times New Roman" w:cs="Times New Roman"/>
          <w:color w:val="000000" w:themeColor="text1"/>
          <w:szCs w:val="24"/>
        </w:rPr>
      </w:pPr>
      <w:r w:rsidRPr="00B96CAA">
        <w:rPr>
          <w:rFonts w:eastAsia="Times New Roman" w:cs="Times New Roman"/>
          <w:color w:val="000000" w:themeColor="text1"/>
          <w:szCs w:val="24"/>
        </w:rPr>
        <w:t>Justice Kagan concluded that with its decision, the majority:</w:t>
      </w:r>
    </w:p>
    <w:p w14:paraId="6EA1692C" w14:textId="2656C077" w:rsidR="00082F78" w:rsidRDefault="00082F78" w:rsidP="00082F78">
      <w:pPr>
        <w:ind w:left="720" w:right="720"/>
        <w:jc w:val="both"/>
        <w:rPr>
          <w:rFonts w:eastAsia="Times New Roman" w:cs="Times New Roman"/>
          <w:color w:val="000000" w:themeColor="text1"/>
          <w:szCs w:val="24"/>
        </w:rPr>
      </w:pPr>
      <w:r w:rsidRPr="00B96CAA">
        <w:rPr>
          <w:rFonts w:eastAsia="Times New Roman" w:cs="Times New Roman"/>
          <w:color w:val="000000" w:themeColor="text1"/>
          <w:szCs w:val="24"/>
        </w:rPr>
        <w:t>[P]</w:t>
      </w:r>
      <w:proofErr w:type="spellStart"/>
      <w:r w:rsidRPr="00B96CAA">
        <w:rPr>
          <w:rFonts w:eastAsia="Times New Roman" w:cs="Times New Roman"/>
          <w:color w:val="000000" w:themeColor="text1"/>
          <w:szCs w:val="24"/>
        </w:rPr>
        <w:t>revents</w:t>
      </w:r>
      <w:proofErr w:type="spellEnd"/>
      <w:r w:rsidRPr="00B96CAA">
        <w:rPr>
          <w:rFonts w:eastAsia="Times New Roman" w:cs="Times New Roman"/>
          <w:color w:val="000000" w:themeColor="text1"/>
          <w:szCs w:val="24"/>
        </w:rPr>
        <w:t xml:space="preserve"> the American people, acting through their state and local officials, from making important choices about workplace governance. And it does so by weaponizing the First Amendment, in a way that unleashes judges, now and in the future, to intervene in economic and regulatory policy.</w:t>
      </w:r>
    </w:p>
    <w:p w14:paraId="5266FC17" w14:textId="77777777" w:rsidR="003A769E" w:rsidRPr="00B96CAA" w:rsidRDefault="003A769E" w:rsidP="003A769E">
      <w:pPr>
        <w:ind w:firstLine="720"/>
        <w:rPr>
          <w:color w:val="000000"/>
        </w:rPr>
      </w:pPr>
      <w:r w:rsidRPr="003A769E">
        <w:rPr>
          <w:b/>
        </w:rPr>
        <w:t>Comment</w:t>
      </w:r>
      <w:r w:rsidRPr="00B96CAA">
        <w:t xml:space="preserve">: The effect of the decision, by reducing revenue unions have to fund their collective bargaining and legally required representation duties, can reduce other funds available to unions to support progressive causes.  For one article suggesting this effect, see, </w:t>
      </w:r>
      <w:r w:rsidRPr="00B96CAA">
        <w:rPr>
          <w:color w:val="000000"/>
        </w:rPr>
        <w:t xml:space="preserve">Noam </w:t>
      </w:r>
      <w:proofErr w:type="spellStart"/>
      <w:r w:rsidRPr="00B96CAA">
        <w:rPr>
          <w:color w:val="000000"/>
        </w:rPr>
        <w:t>Scheiber</w:t>
      </w:r>
      <w:proofErr w:type="spellEnd"/>
      <w:r w:rsidRPr="00B96CAA">
        <w:rPr>
          <w:color w:val="000000"/>
        </w:rPr>
        <w:t xml:space="preserve">, </w:t>
      </w:r>
      <w:r w:rsidRPr="00B96CAA">
        <w:rPr>
          <w:i/>
          <w:color w:val="000000"/>
        </w:rPr>
        <w:t>Curbs on Unions Likely to Starve Activist Groups</w:t>
      </w:r>
      <w:r w:rsidRPr="00B96CAA">
        <w:rPr>
          <w:color w:val="000000"/>
        </w:rPr>
        <w:t xml:space="preserve">, </w:t>
      </w:r>
      <w:r w:rsidRPr="00B96CAA">
        <w:rPr>
          <w:smallCaps/>
          <w:color w:val="000000"/>
        </w:rPr>
        <w:t>N.Y. Times</w:t>
      </w:r>
      <w:r w:rsidRPr="00B96CAA">
        <w:rPr>
          <w:color w:val="000000"/>
        </w:rPr>
        <w:t xml:space="preserve">, July 2, 2018, at A1.  As the </w:t>
      </w:r>
      <w:r w:rsidRPr="00B96CAA">
        <w:rPr>
          <w:i/>
          <w:color w:val="000000"/>
        </w:rPr>
        <w:t>Times</w:t>
      </w:r>
      <w:r w:rsidRPr="00B96CAA">
        <w:rPr>
          <w:color w:val="000000"/>
        </w:rPr>
        <w:t xml:space="preserve"> article noted:</w:t>
      </w:r>
    </w:p>
    <w:p w14:paraId="4B35C92E" w14:textId="77777777" w:rsidR="00082F78" w:rsidRPr="00B96CAA" w:rsidRDefault="00082F78" w:rsidP="00082F78">
      <w:pPr>
        <w:widowControl w:val="0"/>
        <w:autoSpaceDE w:val="0"/>
        <w:autoSpaceDN w:val="0"/>
        <w:adjustRightInd w:val="0"/>
        <w:spacing w:after="240" w:line="300" w:lineRule="atLeast"/>
        <w:ind w:left="720" w:right="720"/>
        <w:jc w:val="both"/>
        <w:rPr>
          <w:rFonts w:cs="Times New Roman"/>
          <w:color w:val="000000"/>
          <w:szCs w:val="24"/>
        </w:rPr>
      </w:pPr>
      <w:r w:rsidRPr="00B96CAA">
        <w:rPr>
          <w:rFonts w:cs="Times New Roman"/>
          <w:color w:val="000000"/>
          <w:szCs w:val="24"/>
        </w:rPr>
        <w:lastRenderedPageBreak/>
        <w:t xml:space="preserve">The Supreme Court decision striking down mandatory union fees for government workers was not only a blow to unions. It will also hit hard at a vast network of groups dedicated to advancing liberal policies and candidates. Some of these groups work for immigrants and civil rights; others produce economic research; still others turn out voters or run ads in Democratic campaigns. Together, they have benefited from tens of millions of dollars a year from public-sector unions -- funding now in jeopardy because of the prospective decline in union revenue. </w:t>
      </w:r>
    </w:p>
    <w:p w14:paraId="6973BF47" w14:textId="77777777" w:rsidR="00082F78" w:rsidRPr="00B96CAA" w:rsidRDefault="00082F78" w:rsidP="00082F78">
      <w:pPr>
        <w:widowControl w:val="0"/>
        <w:autoSpaceDE w:val="0"/>
        <w:autoSpaceDN w:val="0"/>
        <w:adjustRightInd w:val="0"/>
        <w:spacing w:after="240" w:line="300" w:lineRule="atLeast"/>
        <w:ind w:left="720" w:right="720"/>
        <w:jc w:val="both"/>
        <w:rPr>
          <w:rFonts w:cs="Times New Roman"/>
          <w:color w:val="000000"/>
          <w:szCs w:val="24"/>
        </w:rPr>
      </w:pPr>
      <w:r w:rsidRPr="00B96CAA">
        <w:rPr>
          <w:rFonts w:cs="Times New Roman"/>
          <w:color w:val="000000"/>
          <w:szCs w:val="24"/>
        </w:rPr>
        <w:t>Liberal activists argue that closing that pipeline was a crucial goal of the conservative groups that helped bring the case, known as Janus v. American Federation of State, County and Municipal Employees. …</w:t>
      </w:r>
    </w:p>
    <w:p w14:paraId="187DF145" w14:textId="77777777" w:rsidR="00082F78" w:rsidRPr="00B96CAA" w:rsidRDefault="00082F78" w:rsidP="00082F78">
      <w:pPr>
        <w:widowControl w:val="0"/>
        <w:autoSpaceDE w:val="0"/>
        <w:autoSpaceDN w:val="0"/>
        <w:adjustRightInd w:val="0"/>
        <w:spacing w:after="240" w:line="300" w:lineRule="atLeast"/>
        <w:ind w:left="720" w:right="720"/>
        <w:jc w:val="both"/>
        <w:rPr>
          <w:rFonts w:cs="Times New Roman"/>
          <w:color w:val="000000"/>
          <w:szCs w:val="24"/>
        </w:rPr>
      </w:pPr>
      <w:r w:rsidRPr="00B96CAA">
        <w:rPr>
          <w:rFonts w:cs="Times New Roman"/>
          <w:color w:val="000000"/>
          <w:szCs w:val="24"/>
        </w:rPr>
        <w:t xml:space="preserve">Conservatives have acknowledged as much. In a fund-raising solicitation in December, John Tillman, the chief executive of the free-market group that found the plaintiff in the case, cited the objective of depriving unions of revenue by helping workers abandon them. "The union bosses would use that money to advance their big-government agenda," Mr. Tillman wrote. </w:t>
      </w:r>
    </w:p>
    <w:p w14:paraId="329D9BD0" w14:textId="77777777" w:rsidR="00082F78" w:rsidRPr="00B96CAA" w:rsidRDefault="00082F78" w:rsidP="00082F78">
      <w:pPr>
        <w:widowControl w:val="0"/>
        <w:autoSpaceDE w:val="0"/>
        <w:autoSpaceDN w:val="0"/>
        <w:adjustRightInd w:val="0"/>
        <w:spacing w:after="240" w:line="300" w:lineRule="atLeast"/>
        <w:ind w:left="720" w:right="720"/>
        <w:jc w:val="both"/>
        <w:rPr>
          <w:rFonts w:cs="Times New Roman"/>
          <w:color w:val="000000"/>
          <w:szCs w:val="24"/>
        </w:rPr>
      </w:pPr>
      <w:r w:rsidRPr="00B96CAA">
        <w:rPr>
          <w:rFonts w:cs="Times New Roman"/>
          <w:color w:val="000000"/>
          <w:szCs w:val="24"/>
        </w:rPr>
        <w:t>Even President Trump took notice of the justices' ruling, declaring on Twitter that it was a “big loss for the coffers of the Democrats!”</w:t>
      </w:r>
    </w:p>
    <w:p w14:paraId="636F59CB" w14:textId="18979A34" w:rsidR="00082F78" w:rsidRPr="00B96CAA" w:rsidRDefault="00082F78" w:rsidP="00082F78">
      <w:pPr>
        <w:pStyle w:val="Header"/>
        <w:ind w:firstLine="720"/>
        <w:jc w:val="both"/>
        <w:rPr>
          <w:rFonts w:cs="Times New Roman"/>
          <w:color w:val="000000"/>
          <w:szCs w:val="24"/>
        </w:rPr>
      </w:pPr>
      <w:r w:rsidRPr="00B96CAA">
        <w:rPr>
          <w:rFonts w:cs="Times New Roman"/>
          <w:color w:val="000000"/>
          <w:szCs w:val="24"/>
        </w:rPr>
        <w:t>In contrast, corporate executives may direct corporate treasury funds to assist Republican and “conservative” groups. Stock holders have no practical remedy. They could sell stock or sell index funds, but that is a costly alternative. Decisions that seem facially neutral, including campaign finance decisions, often have hugely disproportional effects on groups access to the system of freedom of expression. While not overt viewpoint discrimination, such decisions may have in fact a viewpoint discriminatory effect.</w:t>
      </w:r>
    </w:p>
    <w:p w14:paraId="330A5137" w14:textId="77777777" w:rsidR="00675288" w:rsidRPr="00B96CAA" w:rsidRDefault="00675288" w:rsidP="00675288">
      <w:pPr>
        <w:pStyle w:val="Heading2"/>
        <w:rPr>
          <w:rFonts w:cs="Times New Roman"/>
          <w:szCs w:val="24"/>
        </w:rPr>
      </w:pPr>
      <w:bookmarkStart w:id="49" w:name="_Toc16886262"/>
      <w:r w:rsidRPr="00B96CAA">
        <w:rPr>
          <w:rFonts w:cs="Times New Roman"/>
          <w:szCs w:val="24"/>
        </w:rPr>
        <w:t>Part III, Section II, Regulating Streets, Parks, and Sidewalks</w:t>
      </w:r>
      <w:bookmarkEnd w:id="49"/>
    </w:p>
    <w:p w14:paraId="2DDA7550" w14:textId="77777777" w:rsidR="00675288" w:rsidRPr="00B96CAA" w:rsidRDefault="00675288" w:rsidP="00675288">
      <w:pPr>
        <w:rPr>
          <w:rFonts w:cs="Times New Roman"/>
          <w:szCs w:val="24"/>
        </w:rPr>
      </w:pPr>
      <w:r w:rsidRPr="00B96CAA">
        <w:rPr>
          <w:rFonts w:cs="Times New Roman"/>
          <w:szCs w:val="24"/>
        </w:rPr>
        <w:t>[</w:t>
      </w:r>
      <w:r w:rsidRPr="00171684">
        <w:rPr>
          <w:rFonts w:cs="Times New Roman"/>
          <w:i/>
          <w:szCs w:val="24"/>
        </w:rPr>
        <w:t xml:space="preserve">Insert on page 1344 after Note on </w:t>
      </w:r>
      <w:r w:rsidRPr="00171684">
        <w:rPr>
          <w:rFonts w:cs="Times New Roman"/>
          <w:szCs w:val="24"/>
        </w:rPr>
        <w:t>Christian Legal Society v. Martinez</w:t>
      </w:r>
      <w:r w:rsidRPr="00B96CAA">
        <w:rPr>
          <w:rFonts w:cs="Times New Roman"/>
          <w:szCs w:val="24"/>
        </w:rPr>
        <w:t>.]</w:t>
      </w:r>
    </w:p>
    <w:p w14:paraId="30D338BC" w14:textId="77777777" w:rsidR="00675288" w:rsidRPr="00B96CAA" w:rsidRDefault="00675288" w:rsidP="00675288">
      <w:pPr>
        <w:pStyle w:val="Heading3"/>
        <w:jc w:val="center"/>
        <w:rPr>
          <w:rFonts w:cs="Times New Roman"/>
          <w:color w:val="1A1A1A"/>
          <w:szCs w:val="24"/>
        </w:rPr>
      </w:pPr>
      <w:bookmarkStart w:id="50" w:name="_Toc16886263"/>
      <w:r w:rsidRPr="00B96CAA">
        <w:rPr>
          <w:rFonts w:cs="Times New Roman"/>
          <w:szCs w:val="24"/>
        </w:rPr>
        <w:t xml:space="preserve">Note: </w:t>
      </w:r>
      <w:proofErr w:type="spellStart"/>
      <w:r w:rsidRPr="00B96CAA">
        <w:rPr>
          <w:rFonts w:cs="Times New Roman"/>
          <w:i/>
          <w:szCs w:val="24"/>
        </w:rPr>
        <w:t>Packingham</w:t>
      </w:r>
      <w:proofErr w:type="spellEnd"/>
      <w:r w:rsidRPr="00B96CAA">
        <w:rPr>
          <w:rFonts w:cs="Times New Roman"/>
          <w:i/>
          <w:szCs w:val="24"/>
        </w:rPr>
        <w:t xml:space="preserve"> v. North Carolina</w:t>
      </w:r>
      <w:r w:rsidRPr="00B96CAA">
        <w:rPr>
          <w:rFonts w:cs="Times New Roman"/>
          <w:szCs w:val="24"/>
        </w:rPr>
        <w:t xml:space="preserve"> </w:t>
      </w:r>
      <w:r w:rsidRPr="00B96CAA">
        <w:rPr>
          <w:rFonts w:cs="Times New Roman"/>
          <w:color w:val="1A1A1A"/>
          <w:szCs w:val="24"/>
        </w:rPr>
        <w:t>(2017)</w:t>
      </w:r>
      <w:bookmarkEnd w:id="50"/>
    </w:p>
    <w:p w14:paraId="32344064" w14:textId="77777777" w:rsidR="00675288" w:rsidRPr="00B96CAA" w:rsidRDefault="00675288" w:rsidP="00675288">
      <w:pPr>
        <w:rPr>
          <w:rFonts w:cs="Times New Roman"/>
          <w:color w:val="000000"/>
          <w:szCs w:val="24"/>
        </w:rPr>
      </w:pPr>
      <w:r w:rsidRPr="00B96CAA">
        <w:rPr>
          <w:rFonts w:cs="Times New Roman"/>
          <w:szCs w:val="24"/>
        </w:rPr>
        <w:tab/>
        <w:t xml:space="preserve">In </w:t>
      </w:r>
      <w:proofErr w:type="spellStart"/>
      <w:r w:rsidRPr="00B96CAA">
        <w:rPr>
          <w:rFonts w:cs="Times New Roman"/>
          <w:i/>
          <w:color w:val="000000"/>
          <w:szCs w:val="24"/>
        </w:rPr>
        <w:t>Packingham</w:t>
      </w:r>
      <w:proofErr w:type="spellEnd"/>
      <w:r w:rsidRPr="00B96CAA">
        <w:rPr>
          <w:rFonts w:cs="Times New Roman"/>
          <w:i/>
          <w:color w:val="000000"/>
          <w:szCs w:val="24"/>
        </w:rPr>
        <w:t xml:space="preserve"> v. North Carolina </w:t>
      </w:r>
      <w:r w:rsidRPr="00B96CAA">
        <w:rPr>
          <w:rFonts w:cs="Times New Roman"/>
          <w:color w:val="000000"/>
          <w:szCs w:val="24"/>
        </w:rPr>
        <w:t>(2017), the Court struck down as overbroad a North Carolina statute that prohibited registered sex offenders from using extensive portions of the Internet. The statute made it a felony for a registered sex offender “to access a commercial social networking Web site where the sex offender knows that the site permits minor children to become members or to create or maintain personal Web pages.” N. C. Gen. Stat. Ann. §§14–202.5(a), (e) (2015). The Court noted that while this prohibition would apply to social networking sites like Facebook, LinkedIn, and Twitter, it could also apply to such sites as Amazon.com, Washingtonpost.com, and Webmd.com.</w:t>
      </w:r>
    </w:p>
    <w:p w14:paraId="199709BB" w14:textId="53EBB19D" w:rsidR="00675288" w:rsidRPr="00B96CAA" w:rsidRDefault="00675288" w:rsidP="00675288">
      <w:pPr>
        <w:rPr>
          <w:rFonts w:cs="Times New Roman"/>
          <w:color w:val="000000"/>
          <w:szCs w:val="24"/>
        </w:rPr>
      </w:pPr>
      <w:r w:rsidRPr="00B96CAA">
        <w:rPr>
          <w:rFonts w:cs="Times New Roman"/>
          <w:color w:val="000000"/>
          <w:szCs w:val="24"/>
        </w:rPr>
        <w:tab/>
        <w:t xml:space="preserve">Justice Kennedy, joined by Ginsburg, Breyer, Sotomayor, and Kagan, JJ., noted that, “While in the past there may have been difficulty in identifying the most important places (in a spatial sense) for the exchange of views, today the answer is clear. It is cyberspace—the “vast </w:t>
      </w:r>
      <w:r w:rsidRPr="00B96CAA">
        <w:rPr>
          <w:rFonts w:cs="Times New Roman"/>
          <w:color w:val="000000"/>
          <w:szCs w:val="24"/>
        </w:rPr>
        <w:lastRenderedPageBreak/>
        <w:t>democratic forums of the Internet” in general…and social media in particular. … Even making the assumption that the statute is content neutral and thus subject to intermediate scrutiny, the provision cannot stand. In order to survive intermediate scrutiny, a law must be “narrowly tailored to serve a significant governmental interest.”…</w:t>
      </w:r>
      <w:r w:rsidR="00D35E20">
        <w:rPr>
          <w:rFonts w:cs="Times New Roman"/>
          <w:color w:val="000000"/>
          <w:szCs w:val="24"/>
        </w:rPr>
        <w:t xml:space="preserve"> </w:t>
      </w:r>
      <w:r w:rsidRPr="00B96CAA">
        <w:rPr>
          <w:rFonts w:cs="Times New Roman"/>
          <w:color w:val="000000"/>
          <w:szCs w:val="24"/>
        </w:rPr>
        <w:t xml:space="preserve">In other words, the law must not “burden substantially more speech than is necessary to further the government’s legitimate interests.” </w:t>
      </w:r>
      <w:proofErr w:type="spellStart"/>
      <w:r w:rsidRPr="00B96CAA">
        <w:rPr>
          <w:rFonts w:cs="Times New Roman"/>
          <w:i/>
          <w:iCs/>
          <w:color w:val="000000"/>
          <w:szCs w:val="24"/>
        </w:rPr>
        <w:t>McCullen</w:t>
      </w:r>
      <w:proofErr w:type="spellEnd"/>
      <w:r w:rsidRPr="00B96CAA">
        <w:rPr>
          <w:rFonts w:cs="Times New Roman"/>
          <w:i/>
          <w:iCs/>
          <w:color w:val="000000"/>
          <w:szCs w:val="24"/>
        </w:rPr>
        <w:t xml:space="preserve"> </w:t>
      </w:r>
      <w:r w:rsidRPr="00B96CAA">
        <w:rPr>
          <w:rFonts w:cs="Times New Roman"/>
          <w:color w:val="000000"/>
          <w:szCs w:val="24"/>
        </w:rPr>
        <w:t xml:space="preserve">v. </w:t>
      </w:r>
      <w:r w:rsidRPr="00B96CAA">
        <w:rPr>
          <w:rFonts w:cs="Times New Roman"/>
          <w:i/>
          <w:iCs/>
          <w:color w:val="000000"/>
          <w:szCs w:val="24"/>
        </w:rPr>
        <w:t>Coakley</w:t>
      </w:r>
      <w:r w:rsidRPr="00B96CAA">
        <w:rPr>
          <w:rFonts w:cs="Times New Roman"/>
          <w:color w:val="000000"/>
          <w:szCs w:val="24"/>
        </w:rPr>
        <w:t xml:space="preserve"> (2014)</w:t>
      </w:r>
    </w:p>
    <w:p w14:paraId="525D16C3" w14:textId="77777777" w:rsidR="00675288" w:rsidRPr="00B96CAA" w:rsidRDefault="00675288" w:rsidP="00675288">
      <w:pPr>
        <w:ind w:firstLine="720"/>
        <w:rPr>
          <w:rFonts w:cs="Times New Roman"/>
          <w:color w:val="000000"/>
          <w:szCs w:val="24"/>
        </w:rPr>
      </w:pPr>
      <w:r w:rsidRPr="00B96CAA">
        <w:rPr>
          <w:rFonts w:cs="Times New Roman"/>
          <w:color w:val="000000"/>
          <w:szCs w:val="24"/>
        </w:rPr>
        <w:t>While narrowly drawn statutes that target communication associated with predatory behavior could be constitutional, blanket prohibitions are not. (</w:t>
      </w:r>
      <w:proofErr w:type="spellStart"/>
      <w:r w:rsidRPr="00B96CAA">
        <w:rPr>
          <w:rFonts w:cs="Times New Roman"/>
          <w:color w:val="000000"/>
          <w:szCs w:val="24"/>
        </w:rPr>
        <w:t>Packingham</w:t>
      </w:r>
      <w:proofErr w:type="spellEnd"/>
      <w:r w:rsidRPr="00B96CAA">
        <w:rPr>
          <w:rFonts w:cs="Times New Roman"/>
          <w:color w:val="000000"/>
          <w:szCs w:val="24"/>
        </w:rPr>
        <w:t xml:space="preserve"> had gone on Facebook to express his happiness over the dismissal of a traffic ticket, a communication not remotely linked to his prior criminal conduct—having sex with a 13 year old girl when he was 21.)</w:t>
      </w:r>
    </w:p>
    <w:p w14:paraId="583F09C9" w14:textId="7B1B3E38" w:rsidR="00675288" w:rsidRPr="00B96CAA" w:rsidRDefault="00675288" w:rsidP="00675288">
      <w:pPr>
        <w:shd w:val="clear" w:color="auto" w:fill="FFFFFF"/>
        <w:spacing w:before="100" w:beforeAutospacing="1" w:after="100" w:afterAutospacing="1"/>
        <w:ind w:firstLine="720"/>
        <w:rPr>
          <w:rFonts w:eastAsia="Times New Roman" w:cs="Times New Roman"/>
          <w:color w:val="000000"/>
          <w:szCs w:val="24"/>
        </w:rPr>
      </w:pPr>
      <w:r w:rsidRPr="00B96CAA">
        <w:rPr>
          <w:rFonts w:cs="Times New Roman"/>
          <w:color w:val="000000"/>
          <w:szCs w:val="24"/>
        </w:rPr>
        <w:t>Justice Alito filed an opinion concurring in the judgment, in which Roberts, C. J., and Thomas, J.</w:t>
      </w:r>
      <w:r w:rsidR="00A13AD4">
        <w:rPr>
          <w:rFonts w:cs="Times New Roman"/>
          <w:color w:val="000000"/>
          <w:szCs w:val="24"/>
        </w:rPr>
        <w:t>,</w:t>
      </w:r>
      <w:r w:rsidRPr="00B96CAA">
        <w:rPr>
          <w:rFonts w:cs="Times New Roman"/>
          <w:color w:val="000000"/>
          <w:szCs w:val="24"/>
        </w:rPr>
        <w:t xml:space="preserve"> joined. </w:t>
      </w:r>
      <w:r w:rsidR="002C1480">
        <w:rPr>
          <w:rFonts w:cs="Times New Roman"/>
          <w:color w:val="000000"/>
          <w:szCs w:val="24"/>
        </w:rPr>
        <w:t xml:space="preserve">(Justice Gorsuch did not participate in the case.) </w:t>
      </w:r>
      <w:r w:rsidRPr="00B96CAA">
        <w:rPr>
          <w:rFonts w:cs="Times New Roman"/>
          <w:color w:val="000000"/>
          <w:szCs w:val="24"/>
        </w:rPr>
        <w:t>Alito emphasized the right of the government to regulate communications that are linked to predatory behavior: “</w:t>
      </w:r>
      <w:r w:rsidRPr="00B96CAA">
        <w:rPr>
          <w:rFonts w:eastAsia="Times New Roman" w:cs="Times New Roman"/>
          <w:color w:val="000000"/>
          <w:szCs w:val="24"/>
        </w:rPr>
        <w:t>I cannot join the opinion of the Court, however, because of its undisciplined dicta. The Court is unable to resist musings that seem to equate the entirety of the internet with public streets and parks. And this language is bound to be interpreted by some to mean that the States are largely powerless to restrict even the most dangerous sexual predators from visiting any internet sites, including, for example, teenage dating sites and sites designed to permit minors to discuss personal problems with their peers. I am troubled by the implications of the Court’s unnecessary rhetoric.”</w:t>
      </w:r>
    </w:p>
    <w:p w14:paraId="652D0D8C" w14:textId="77777777" w:rsidR="00675288" w:rsidRPr="00B96CAA" w:rsidRDefault="00675288" w:rsidP="00675288">
      <w:pPr>
        <w:pStyle w:val="Heading2"/>
        <w:rPr>
          <w:rFonts w:cs="Times New Roman"/>
          <w:szCs w:val="24"/>
        </w:rPr>
      </w:pPr>
      <w:bookmarkStart w:id="51" w:name="_Toc16886264"/>
      <w:r w:rsidRPr="00B96CAA">
        <w:rPr>
          <w:rFonts w:cs="Times New Roman"/>
          <w:szCs w:val="24"/>
        </w:rPr>
        <w:t>Part III, Section III, The Non-public Forum</w:t>
      </w:r>
      <w:bookmarkEnd w:id="51"/>
    </w:p>
    <w:p w14:paraId="0C6DAC59" w14:textId="77777777" w:rsidR="00675288" w:rsidRPr="00B96CAA" w:rsidRDefault="00675288" w:rsidP="00675288">
      <w:pPr>
        <w:rPr>
          <w:rFonts w:cs="Times New Roman"/>
          <w:i/>
          <w:szCs w:val="24"/>
        </w:rPr>
      </w:pPr>
      <w:r w:rsidRPr="00B96CAA">
        <w:rPr>
          <w:rFonts w:cs="Times New Roman"/>
          <w:szCs w:val="24"/>
        </w:rPr>
        <w:t>[</w:t>
      </w:r>
      <w:r w:rsidRPr="00171684">
        <w:rPr>
          <w:rFonts w:cs="Times New Roman"/>
          <w:i/>
          <w:szCs w:val="24"/>
        </w:rPr>
        <w:t xml:space="preserve">Insert on page 1355 before </w:t>
      </w:r>
      <w:r w:rsidRPr="00171684">
        <w:rPr>
          <w:rFonts w:cs="Times New Roman"/>
          <w:szCs w:val="24"/>
        </w:rPr>
        <w:t>Watchtower Bible and Tract Society of New York</w:t>
      </w:r>
      <w:r w:rsidRPr="00B96CAA">
        <w:rPr>
          <w:rFonts w:cs="Times New Roman"/>
          <w:szCs w:val="24"/>
        </w:rPr>
        <w:t>.]</w:t>
      </w:r>
    </w:p>
    <w:p w14:paraId="667988CE" w14:textId="77777777" w:rsidR="00675288" w:rsidRPr="00B96CAA" w:rsidRDefault="00675288" w:rsidP="00675288">
      <w:pPr>
        <w:pStyle w:val="Heading3"/>
        <w:jc w:val="center"/>
        <w:rPr>
          <w:rFonts w:cs="Times New Roman"/>
          <w:szCs w:val="24"/>
        </w:rPr>
      </w:pPr>
      <w:bookmarkStart w:id="52" w:name="_Toc16886265"/>
      <w:r w:rsidRPr="00B96CAA">
        <w:rPr>
          <w:rFonts w:cs="Times New Roman"/>
          <w:szCs w:val="24"/>
        </w:rPr>
        <w:t xml:space="preserve">Note: </w:t>
      </w:r>
      <w:r w:rsidRPr="00B96CAA">
        <w:rPr>
          <w:rFonts w:cs="Times New Roman"/>
          <w:i/>
          <w:szCs w:val="24"/>
        </w:rPr>
        <w:t xml:space="preserve">Minnesota Voters Alliance v. </w:t>
      </w:r>
      <w:proofErr w:type="spellStart"/>
      <w:r w:rsidRPr="00B96CAA">
        <w:rPr>
          <w:rFonts w:cs="Times New Roman"/>
          <w:i/>
          <w:szCs w:val="24"/>
        </w:rPr>
        <w:t>Mansky</w:t>
      </w:r>
      <w:proofErr w:type="spellEnd"/>
      <w:r w:rsidRPr="00B96CAA">
        <w:rPr>
          <w:rFonts w:cs="Times New Roman"/>
          <w:szCs w:val="24"/>
        </w:rPr>
        <w:t xml:space="preserve"> (2018)</w:t>
      </w:r>
      <w:bookmarkEnd w:id="52"/>
    </w:p>
    <w:p w14:paraId="1E79FB08" w14:textId="13789225" w:rsidR="00675288" w:rsidRPr="00B96CAA" w:rsidRDefault="00675288" w:rsidP="00675288">
      <w:pPr>
        <w:jc w:val="both"/>
        <w:rPr>
          <w:rFonts w:cs="Times New Roman"/>
          <w:szCs w:val="24"/>
        </w:rPr>
      </w:pPr>
      <w:r w:rsidRPr="00B96CAA">
        <w:rPr>
          <w:rFonts w:cs="Times New Roman"/>
          <w:szCs w:val="24"/>
        </w:rPr>
        <w:tab/>
        <w:t>Minnesota Voters Alliance (“MVA”), an organization advocating for election reforms, challenged Minnesota’s “political apparel ban,” which provided that a “political badge, political button, or other political insignia may not be worn at or about the polling place” on Election Day. The political apparel ban applied only within the polling place and was enforced by Minnesota election judges with the authority to decide whether a particular item was prohibited under the statute. The statute did not define the word “political”, but for clarification the State distributed to election judges an “Election Day Policy” that provided examples of apparel that fell within the ban. These included any item “including the name of a political party,” “including the name of a candidate,” “in support of or opposition to a ballot question,” including “[</w:t>
      </w:r>
      <w:proofErr w:type="spellStart"/>
      <w:r w:rsidRPr="00B96CAA">
        <w:rPr>
          <w:rFonts w:cs="Times New Roman"/>
          <w:szCs w:val="24"/>
        </w:rPr>
        <w:t>i</w:t>
      </w:r>
      <w:proofErr w:type="spellEnd"/>
      <w:r w:rsidRPr="00B96CAA">
        <w:rPr>
          <w:rFonts w:cs="Times New Roman"/>
          <w:szCs w:val="24"/>
        </w:rPr>
        <w:t>]</w:t>
      </w:r>
      <w:proofErr w:type="spellStart"/>
      <w:r w:rsidRPr="00B96CAA">
        <w:rPr>
          <w:rFonts w:cs="Times New Roman"/>
          <w:szCs w:val="24"/>
        </w:rPr>
        <w:t>ssue</w:t>
      </w:r>
      <w:proofErr w:type="spellEnd"/>
      <w:r w:rsidRPr="00B96CAA">
        <w:rPr>
          <w:rFonts w:cs="Times New Roman"/>
          <w:szCs w:val="24"/>
        </w:rPr>
        <w:t xml:space="preserve"> oriented material designed to influence or impact voting,” or “promoting a group with recognizable political views.”  Elections judges could not prevent individuals from voting, but requested anyone wearing apparel they judged to be in violation to remove or conceal the item. If a voter refused to do so, election judges were to report the incident. Each incident was referred to the Minnesota Office of </w:t>
      </w:r>
      <w:r w:rsidRPr="00B96CAA">
        <w:rPr>
          <w:rFonts w:cs="Times New Roman"/>
          <w:szCs w:val="24"/>
        </w:rPr>
        <w:lastRenderedPageBreak/>
        <w:t xml:space="preserve">Administrative Hearings which, upon finding a violation, held authority to issue a reprimand or impose civil penalties.  </w:t>
      </w:r>
    </w:p>
    <w:p w14:paraId="48A018C1" w14:textId="0BBBA200" w:rsidR="00675288" w:rsidRPr="00B96CAA" w:rsidRDefault="00675288" w:rsidP="00675288">
      <w:pPr>
        <w:ind w:firstLine="720"/>
        <w:jc w:val="both"/>
        <w:rPr>
          <w:rFonts w:cs="Times New Roman"/>
          <w:szCs w:val="24"/>
        </w:rPr>
      </w:pPr>
      <w:r w:rsidRPr="00B96CAA">
        <w:rPr>
          <w:rFonts w:cs="Times New Roman"/>
          <w:szCs w:val="24"/>
        </w:rPr>
        <w:t>MVA and other plaintiffs argued that the statute was unconstitutional on its face and as applied to voters’ political apparel. The district court granted the State’s motion to dismiss as to the facial challenge and later the State’s motion for summary judgment as to the as-applied challenge. The Eighth Circuit affirmed both holdings. MVA petitioned for certiorari only in regard to the facial challenge.</w:t>
      </w:r>
    </w:p>
    <w:p w14:paraId="40E27C74" w14:textId="7B89D842" w:rsidR="00675288" w:rsidRPr="00B96CAA" w:rsidRDefault="00675288" w:rsidP="00675288">
      <w:pPr>
        <w:ind w:firstLine="720"/>
        <w:jc w:val="both"/>
        <w:rPr>
          <w:rFonts w:cs="Times New Roman"/>
          <w:szCs w:val="24"/>
        </w:rPr>
      </w:pPr>
      <w:r w:rsidRPr="00B96CAA">
        <w:rPr>
          <w:rFonts w:cs="Times New Roman"/>
          <w:szCs w:val="24"/>
        </w:rPr>
        <w:t xml:space="preserve">The Supreme Court held 7-2 that Minnesota’s political apparel ban violated the First Amendment’s free speech clause. Writing for the majority, Chief Justice Roberts </w:t>
      </w:r>
      <w:r w:rsidR="00A13AD4">
        <w:rPr>
          <w:rFonts w:cs="Times New Roman"/>
          <w:szCs w:val="24"/>
        </w:rPr>
        <w:t xml:space="preserve">(joined by Kennedy, Thomas, </w:t>
      </w:r>
      <w:r w:rsidR="00384037">
        <w:rPr>
          <w:rFonts w:cs="Times New Roman"/>
          <w:szCs w:val="24"/>
        </w:rPr>
        <w:t xml:space="preserve">Ginsburg, </w:t>
      </w:r>
      <w:r w:rsidR="00A13AD4">
        <w:rPr>
          <w:rFonts w:cs="Times New Roman"/>
          <w:szCs w:val="24"/>
        </w:rPr>
        <w:t xml:space="preserve">Alito, </w:t>
      </w:r>
      <w:r w:rsidR="00384037">
        <w:rPr>
          <w:rFonts w:cs="Times New Roman"/>
          <w:szCs w:val="24"/>
        </w:rPr>
        <w:t xml:space="preserve">Kagan </w:t>
      </w:r>
      <w:r w:rsidR="00A13AD4">
        <w:rPr>
          <w:rFonts w:cs="Times New Roman"/>
          <w:szCs w:val="24"/>
        </w:rPr>
        <w:t xml:space="preserve">and Gorsuch, JJ.) </w:t>
      </w:r>
      <w:r w:rsidRPr="00B96CAA">
        <w:rPr>
          <w:rFonts w:cs="Times New Roman"/>
          <w:szCs w:val="24"/>
        </w:rPr>
        <w:t>explained that, while the political apparel ban pursued the permissible objective of setting aside the polling place as “an island of calm in which voters can peacefully contemplate their choices,” the statute and State-issued guidance offered little clarity as to what apparel was covered, and therefore the ban was not “a law capable of reasoned application.”</w:t>
      </w:r>
    </w:p>
    <w:p w14:paraId="4BCD4DE6" w14:textId="493ED147" w:rsidR="00675288" w:rsidRPr="00B96CAA" w:rsidRDefault="00675288" w:rsidP="00675288">
      <w:pPr>
        <w:ind w:firstLine="720"/>
        <w:jc w:val="both"/>
        <w:rPr>
          <w:rFonts w:cs="Times New Roman"/>
          <w:szCs w:val="24"/>
        </w:rPr>
      </w:pPr>
      <w:r w:rsidRPr="00B96CAA">
        <w:rPr>
          <w:rFonts w:cs="Times New Roman"/>
          <w:szCs w:val="24"/>
        </w:rPr>
        <w:t>First holding that the political apparel ban plainly restricted expression protected by the First Amendment, the Court applied its forum-based approach to speech restrictions. Traditional public forums, such as parks, streets, and sidewalks, may be subject to “reasonable time, place and manner restrictions on public speech.” A content-based restriction in a traditional public forum must satisfy strict scrutiny, and viewpoint discrimination is entirely prohibited. Restrictions on speech in designated public forums, “which the government has ‘intentionally opened up for that purpose’” are subject to the same limitations as restrictions applied to traditional public forums. On the other hand, speech in nonpublic forums—spaces “not by tradition or designation a forum for public communication”—may be subject to a restriction so long as it is “reasonable and not an effort to suppress expression merely because public officials oppose the speaker’s view.”</w:t>
      </w:r>
    </w:p>
    <w:p w14:paraId="1E324FA4" w14:textId="0860DC08" w:rsidR="00675288" w:rsidRPr="00B96CAA" w:rsidRDefault="00675288" w:rsidP="00675288">
      <w:pPr>
        <w:ind w:firstLine="720"/>
        <w:jc w:val="both"/>
        <w:rPr>
          <w:rFonts w:cs="Times New Roman"/>
          <w:szCs w:val="24"/>
        </w:rPr>
      </w:pPr>
      <w:r w:rsidRPr="00B96CAA">
        <w:rPr>
          <w:rFonts w:cs="Times New Roman"/>
          <w:szCs w:val="24"/>
        </w:rPr>
        <w:t xml:space="preserve">Because a polling place is, at least on Election Day, a “government-controlled property set aside for the sole purpose of voting,” the Court held that a polling place qualifies as a nonpublic forum. Under the applicable test, the Court would uphold content-based restrictions on speech in the polling places so long as they were “reasonable and not an effort to suppress expression merely because public officials oppose the speaker’s view.” Finding nothing in the facts to indicate viewpoint discrimination, the issue was whether the apparel ban was “reasonable in light of the purpose served by the forum.” </w:t>
      </w:r>
    </w:p>
    <w:p w14:paraId="0B260D50" w14:textId="3BB05529" w:rsidR="00675288" w:rsidRPr="00B96CAA" w:rsidRDefault="00675288" w:rsidP="00675288">
      <w:pPr>
        <w:ind w:firstLine="720"/>
        <w:jc w:val="both"/>
        <w:rPr>
          <w:rFonts w:cs="Times New Roman"/>
          <w:szCs w:val="24"/>
        </w:rPr>
      </w:pPr>
      <w:r w:rsidRPr="00B96CAA">
        <w:rPr>
          <w:rFonts w:cs="Times New Roman"/>
          <w:szCs w:val="24"/>
        </w:rPr>
        <w:t xml:space="preserve">Applying the nonpublic forum standard, the Court first considered whether Minnesota pursued “a permissible objective in prohibiting voters from wearing particular kinds of expressive apparel or accessories while inside the polling place.” Looking to </w:t>
      </w:r>
      <w:proofErr w:type="spellStart"/>
      <w:r w:rsidRPr="00B96CAA">
        <w:rPr>
          <w:rFonts w:cs="Times New Roman"/>
          <w:i/>
          <w:szCs w:val="24"/>
        </w:rPr>
        <w:t>Burson</w:t>
      </w:r>
      <w:proofErr w:type="spellEnd"/>
      <w:r w:rsidRPr="00B96CAA">
        <w:rPr>
          <w:rFonts w:cs="Times New Roman"/>
          <w:i/>
          <w:szCs w:val="24"/>
        </w:rPr>
        <w:t xml:space="preserve"> v. Freeman</w:t>
      </w:r>
      <w:r w:rsidRPr="00B96CAA">
        <w:rPr>
          <w:rFonts w:cs="Times New Roman"/>
          <w:szCs w:val="24"/>
        </w:rPr>
        <w:t xml:space="preserve"> (1992), in which the Court upheld a 100-foot “campaign-free zone” around polling place entrances, the Court held that Minnesota’s political apparel ban served the permissible objective of “designating an area for the voters as ‘their own,’” particularly inside the polling place itself. The Court explained:</w:t>
      </w:r>
    </w:p>
    <w:p w14:paraId="4DD97B85" w14:textId="544A5AE1" w:rsidR="00675288" w:rsidRPr="00B96CAA" w:rsidRDefault="00675288" w:rsidP="00675288">
      <w:pPr>
        <w:ind w:left="720" w:right="720"/>
        <w:jc w:val="both"/>
        <w:rPr>
          <w:rFonts w:cs="Times New Roman"/>
          <w:szCs w:val="24"/>
        </w:rPr>
      </w:pPr>
      <w:r w:rsidRPr="00B96CAA">
        <w:rPr>
          <w:rFonts w:cs="Times New Roman"/>
          <w:szCs w:val="24"/>
        </w:rPr>
        <w:lastRenderedPageBreak/>
        <w:t>[W]e see no basis for rejecting Minnesota’s determination that some forms of advocacy should be excluded from the polling place, to set it aside as “an island of calm in which voters can peacefully contemplate their choices.” Casting a vote is a weighty civic act, akin to a jury's return of a verdict, or a representative's vote on a piece of legislation. It is a time for choosing, not campaigning. The State may reasonably decide that the interior of the polling place should reflect that distinction….</w:t>
      </w:r>
    </w:p>
    <w:p w14:paraId="2B6485C5" w14:textId="77777777" w:rsidR="00675288" w:rsidRPr="00B96CAA" w:rsidRDefault="00675288" w:rsidP="00675288">
      <w:pPr>
        <w:ind w:left="720" w:right="720"/>
        <w:jc w:val="both"/>
        <w:rPr>
          <w:rFonts w:cs="Times New Roman"/>
          <w:szCs w:val="24"/>
        </w:rPr>
      </w:pPr>
      <w:r w:rsidRPr="00B96CAA">
        <w:rPr>
          <w:rFonts w:cs="Times New Roman"/>
          <w:szCs w:val="24"/>
        </w:rPr>
        <w:t>Members of the public are brought together at that place, at the end of what may have been a divisive election season, to reach considered decisions about their government and laws. The State may reasonably take steps to ensure that partisan discord not follow the voter up to the voting booth, and distract from a sense of shared civic obligation at the moment it counts the most. That interest may be thwarted by displays that do not raise significant concerns in other situations.</w:t>
      </w:r>
    </w:p>
    <w:p w14:paraId="4A6C91FC" w14:textId="4D9359EA" w:rsidR="00675288" w:rsidRPr="00B96CAA" w:rsidRDefault="00675288" w:rsidP="00675288">
      <w:pPr>
        <w:ind w:firstLine="720"/>
        <w:jc w:val="both"/>
        <w:rPr>
          <w:rFonts w:cs="Times New Roman"/>
          <w:szCs w:val="24"/>
        </w:rPr>
      </w:pPr>
      <w:r w:rsidRPr="00B96CAA">
        <w:rPr>
          <w:rFonts w:cs="Times New Roman"/>
          <w:szCs w:val="24"/>
        </w:rPr>
        <w:t>The Court then turned to whether the State had “articulate[d] some sensible basis for distinguishing what may come in from what must stay out.” The Court held that the restriction failed this test because the statute did not define what constituted “political” apparel, and the State failed to offer a construction of the statute that provided adequate clarity. The statute was, therefore, “not capable of reasoned application” by election law judges or the Office of Administrative Hearings. A literal reading of the statute would ban a broad range of political expression, including “a button or T-shirt merely imploring others to “Vote!” The Court rejected the State’s argument against such a broad reading:</w:t>
      </w:r>
    </w:p>
    <w:p w14:paraId="42294BF6" w14:textId="28ED4D69" w:rsidR="00675288" w:rsidRPr="00B96CAA" w:rsidRDefault="00675288" w:rsidP="00675288">
      <w:pPr>
        <w:ind w:left="720" w:right="720"/>
        <w:jc w:val="both"/>
        <w:rPr>
          <w:rFonts w:cs="Times New Roman"/>
          <w:szCs w:val="24"/>
        </w:rPr>
      </w:pPr>
      <w:r w:rsidRPr="00B96CAA">
        <w:rPr>
          <w:rFonts w:cs="Times New Roman"/>
          <w:szCs w:val="24"/>
        </w:rPr>
        <w:t>According to the State, the statute does not prohibit “any conceivably ‘political’ message” or cover “all ‘political’ speech, broadly construed.” Instead, the State interprets the ban to proscribe “only words and symbols that an objectively reasonable observer would perceive as conveying a message about the electoral choices at issue in [the] polling place.” …</w:t>
      </w:r>
    </w:p>
    <w:p w14:paraId="4553E6EC" w14:textId="77EEC176" w:rsidR="00675288" w:rsidRPr="00B96CAA" w:rsidRDefault="00675288" w:rsidP="00675288">
      <w:pPr>
        <w:ind w:left="720" w:right="720"/>
        <w:jc w:val="both"/>
        <w:rPr>
          <w:rFonts w:cs="Times New Roman"/>
          <w:szCs w:val="24"/>
        </w:rPr>
      </w:pPr>
      <w:r w:rsidRPr="00B96CAA">
        <w:rPr>
          <w:rFonts w:cs="Times New Roman"/>
          <w:szCs w:val="24"/>
        </w:rPr>
        <w:t>We consider a State's “authoritative constructions” in interpreting a state law. </w:t>
      </w:r>
      <w:r w:rsidRPr="00B96CAA">
        <w:rPr>
          <w:rFonts w:cs="Times New Roman"/>
          <w:i/>
          <w:iCs/>
          <w:szCs w:val="24"/>
        </w:rPr>
        <w:t xml:space="preserve">Forsyth County v. Nationalist Movement </w:t>
      </w:r>
      <w:r w:rsidRPr="00B96CAA">
        <w:rPr>
          <w:rFonts w:cs="Times New Roman"/>
          <w:szCs w:val="24"/>
        </w:rPr>
        <w:t>(1992). But far from clarifying the indeterminate scope of the political apparel provision, the State's “electoral choices” construction introduces confusing line-drawing</w:t>
      </w:r>
      <w:r w:rsidR="006A0326">
        <w:rPr>
          <w:rFonts w:cs="Times New Roman"/>
          <w:szCs w:val="24"/>
        </w:rPr>
        <w:t xml:space="preserve"> </w:t>
      </w:r>
      <w:r w:rsidRPr="00B96CAA">
        <w:rPr>
          <w:rFonts w:cs="Times New Roman"/>
          <w:szCs w:val="24"/>
        </w:rPr>
        <w:t>problems.</w:t>
      </w:r>
    </w:p>
    <w:p w14:paraId="3ECEBB4F" w14:textId="7A8DDA48" w:rsidR="00675288" w:rsidRPr="00B96CAA" w:rsidRDefault="00675288" w:rsidP="00675288">
      <w:pPr>
        <w:ind w:firstLine="720"/>
        <w:jc w:val="both"/>
        <w:rPr>
          <w:rFonts w:cs="Times New Roman"/>
          <w:szCs w:val="24"/>
        </w:rPr>
      </w:pPr>
      <w:r w:rsidRPr="00B96CAA">
        <w:rPr>
          <w:rFonts w:cs="Times New Roman"/>
          <w:szCs w:val="24"/>
        </w:rPr>
        <w:t>The 2010 Election Day Policy, considered to be authoritative guidance to the application of the statute, did little to clarify the statute. For example, the Policy specifically prohibited “[</w:t>
      </w:r>
      <w:proofErr w:type="spellStart"/>
      <w:r w:rsidRPr="00B96CAA">
        <w:rPr>
          <w:rFonts w:cs="Times New Roman"/>
          <w:szCs w:val="24"/>
        </w:rPr>
        <w:t>i</w:t>
      </w:r>
      <w:proofErr w:type="spellEnd"/>
      <w:r w:rsidRPr="00B96CAA">
        <w:rPr>
          <w:rFonts w:cs="Times New Roman"/>
          <w:szCs w:val="24"/>
        </w:rPr>
        <w:t>]</w:t>
      </w:r>
      <w:proofErr w:type="spellStart"/>
      <w:r w:rsidRPr="00B96CAA">
        <w:rPr>
          <w:rFonts w:cs="Times New Roman"/>
          <w:szCs w:val="24"/>
        </w:rPr>
        <w:t>ssue</w:t>
      </w:r>
      <w:proofErr w:type="spellEnd"/>
      <w:r w:rsidRPr="00B96CAA">
        <w:rPr>
          <w:rFonts w:cs="Times New Roman"/>
          <w:szCs w:val="24"/>
        </w:rPr>
        <w:t xml:space="preserve"> oriented material designed to influence or impact voting.” The State considered this to be limited to “any subject on which a political candidate or party has taken a stance.” This included buttons that stated “Please I.D. Me,” the State explained, because Republican candidates for office had promoted voter I.D. requirements. Finding this standard unworkable, the Court noted:</w:t>
      </w:r>
    </w:p>
    <w:p w14:paraId="1BF49BCB" w14:textId="7054F7E3" w:rsidR="00675288" w:rsidRPr="00B96CAA" w:rsidRDefault="00675288" w:rsidP="00675288">
      <w:pPr>
        <w:ind w:left="720" w:right="720"/>
        <w:jc w:val="both"/>
        <w:rPr>
          <w:rFonts w:cs="Times New Roman"/>
          <w:szCs w:val="24"/>
        </w:rPr>
      </w:pPr>
      <w:r w:rsidRPr="00B96CAA">
        <w:rPr>
          <w:rFonts w:cs="Times New Roman"/>
          <w:szCs w:val="24"/>
        </w:rPr>
        <w:lastRenderedPageBreak/>
        <w:t>A rule whose fair enforcement requires an election judge to maintain a mental index of the platforms and positions of every candidate and party on the ballot is not reasonable. Candidates for statewide and federal office and major political parties can be expected to take positions on a wide array of subjects of local and national import. Would a “Support Our Troops” shirt be banned, if one of the candidates or parties had expressed a view on military funding or aid for veterans? What about a “#MeToo” shirt, referencing the movement to increase awareness of sexual harassment and assault? At oral argument, the State indicated that the ban would cover such an item if a candidate had “brought up” the topic.</w:t>
      </w:r>
    </w:p>
    <w:p w14:paraId="12098946" w14:textId="06B6A479" w:rsidR="00675288" w:rsidRPr="00B96CAA" w:rsidRDefault="00675288" w:rsidP="00675288">
      <w:pPr>
        <w:jc w:val="both"/>
        <w:rPr>
          <w:rFonts w:cs="Times New Roman"/>
          <w:szCs w:val="24"/>
        </w:rPr>
      </w:pPr>
      <w:r w:rsidRPr="00B96CAA">
        <w:rPr>
          <w:rFonts w:cs="Times New Roman"/>
          <w:szCs w:val="24"/>
        </w:rPr>
        <w:tab/>
        <w:t xml:space="preserve">Similarly, the prohibition on items “promoting a group with recognizable political views” failed to provide consistent guidance to election judges or adequate notice to voters as to what apparel was prohibited. Unclear standards posed risks to voter’s free speech rights, the Court said: </w:t>
      </w:r>
    </w:p>
    <w:p w14:paraId="12E403B2" w14:textId="228A7407" w:rsidR="00675288" w:rsidRPr="00B96CAA" w:rsidRDefault="00675288" w:rsidP="00675288">
      <w:pPr>
        <w:ind w:left="720" w:right="720"/>
        <w:jc w:val="both"/>
        <w:rPr>
          <w:rFonts w:cs="Times New Roman"/>
          <w:szCs w:val="24"/>
        </w:rPr>
      </w:pPr>
      <w:r w:rsidRPr="00B96CAA">
        <w:rPr>
          <w:rFonts w:cs="Times New Roman"/>
          <w:szCs w:val="24"/>
        </w:rPr>
        <w:t>It is “self-evident” that an indeterminate prohibition carries with it “[t]he opportunity for abuse, especially where [it] has received a virtually open-ended interpretation.”</w:t>
      </w:r>
      <w:r w:rsidR="006A0326">
        <w:rPr>
          <w:rFonts w:cs="Times New Roman"/>
          <w:szCs w:val="24"/>
        </w:rPr>
        <w:t xml:space="preserve"> </w:t>
      </w:r>
      <w:r w:rsidRPr="00B96CAA">
        <w:rPr>
          <w:rFonts w:cs="Times New Roman"/>
          <w:szCs w:val="24"/>
        </w:rPr>
        <w:t>… Election judges “have the authority to decide what is political” when screening individuals at the entrance to the polls. We do not doubt that the vast majority of election judges strive to enforce the statute in an evenhanded manner, nor that some degree of discretion in this setting is necessary. But that discretion must be guided by objective, workable standards. Without them, an election judge's own politics may shape his views on what counts as “political.” And if voters experience or witness episodes of unfair or inconsistent enforcement of the ban, the State's interest in maintaining a polling place free of distraction and disruption would be undermined by the very measure intended to further it.</w:t>
      </w:r>
    </w:p>
    <w:p w14:paraId="506E7F28" w14:textId="3491F687" w:rsidR="00675288" w:rsidRPr="00B96CAA" w:rsidRDefault="00675288" w:rsidP="00675288">
      <w:pPr>
        <w:ind w:firstLine="720"/>
        <w:jc w:val="both"/>
        <w:rPr>
          <w:rFonts w:cs="Times New Roman"/>
          <w:szCs w:val="24"/>
        </w:rPr>
      </w:pPr>
      <w:r w:rsidRPr="00B96CAA">
        <w:rPr>
          <w:rFonts w:cs="Times New Roman"/>
          <w:szCs w:val="24"/>
        </w:rPr>
        <w:t>The Court, in a footnote, declined to certify the case to the Minnesota Supreme Court, on the grounds that the State’s request came late in the litigation, and the Court’s decision would not change even if the Minnesota Supreme Court adopted the State’s interpretation of the statute.</w:t>
      </w:r>
    </w:p>
    <w:p w14:paraId="3A1103EA" w14:textId="723A440D" w:rsidR="00675288" w:rsidRPr="00B96CAA" w:rsidRDefault="00675288" w:rsidP="00675288">
      <w:pPr>
        <w:ind w:firstLine="720"/>
        <w:jc w:val="both"/>
        <w:rPr>
          <w:rFonts w:cs="Times New Roman"/>
          <w:szCs w:val="24"/>
        </w:rPr>
      </w:pPr>
      <w:r w:rsidRPr="00B96CAA">
        <w:rPr>
          <w:rFonts w:cs="Times New Roman"/>
          <w:szCs w:val="24"/>
        </w:rPr>
        <w:t>Dissenting, Justice Sotomayor, joined by Justice Breyer, argued that the political apparel ban not be declared unconstitutional on its face before the Minnesota Supreme Court was first afforded the opportunity to construe the statute. Justice Sotomayor would have certified the case to the Minnesota Supreme Court “for a definitive interpretation of the political apparel ban … which likely would obviate the hypothetical line-drawing problems that form the basis of the Court’s decision.”</w:t>
      </w:r>
    </w:p>
    <w:p w14:paraId="39CFEE71" w14:textId="77777777" w:rsidR="00675288" w:rsidRPr="00B96CAA" w:rsidRDefault="00675288" w:rsidP="00675288">
      <w:pPr>
        <w:pStyle w:val="Heading2"/>
        <w:rPr>
          <w:rFonts w:cs="Times New Roman"/>
          <w:szCs w:val="24"/>
        </w:rPr>
      </w:pPr>
      <w:bookmarkStart w:id="53" w:name="_Toc16886266"/>
      <w:r w:rsidRPr="00B96CAA">
        <w:rPr>
          <w:rFonts w:cs="Times New Roman"/>
          <w:szCs w:val="24"/>
        </w:rPr>
        <w:t>Part III, Section VI, Government as the Speaker, Not as a Regulator</w:t>
      </w:r>
      <w:bookmarkEnd w:id="53"/>
    </w:p>
    <w:p w14:paraId="78FB34FF" w14:textId="77777777" w:rsidR="00675288" w:rsidRPr="00B96CAA" w:rsidRDefault="00675288" w:rsidP="00675288">
      <w:pPr>
        <w:rPr>
          <w:rFonts w:cs="Times New Roman"/>
          <w:szCs w:val="24"/>
        </w:rPr>
      </w:pPr>
      <w:r w:rsidRPr="00B96CAA">
        <w:rPr>
          <w:rFonts w:cs="Times New Roman"/>
          <w:szCs w:val="24"/>
        </w:rPr>
        <w:t>[</w:t>
      </w:r>
      <w:r w:rsidRPr="00171684">
        <w:rPr>
          <w:rFonts w:cs="Times New Roman"/>
          <w:i/>
          <w:szCs w:val="24"/>
        </w:rPr>
        <w:t xml:space="preserve">Insert on page 1381 after Note on </w:t>
      </w:r>
      <w:r w:rsidRPr="00171684">
        <w:rPr>
          <w:rFonts w:cs="Times New Roman"/>
          <w:szCs w:val="24"/>
        </w:rPr>
        <w:t>Walker</w:t>
      </w:r>
      <w:r w:rsidRPr="00B96CAA">
        <w:rPr>
          <w:rFonts w:cs="Times New Roman"/>
          <w:szCs w:val="24"/>
        </w:rPr>
        <w:t>.]</w:t>
      </w:r>
    </w:p>
    <w:p w14:paraId="582D1392" w14:textId="5E7693B7" w:rsidR="00675288" w:rsidRPr="00B96CAA" w:rsidRDefault="00675288" w:rsidP="00675288">
      <w:pPr>
        <w:pStyle w:val="Heading3"/>
        <w:jc w:val="center"/>
        <w:rPr>
          <w:rFonts w:cs="Times New Roman"/>
          <w:szCs w:val="24"/>
        </w:rPr>
      </w:pPr>
      <w:r w:rsidRPr="00B96CAA">
        <w:rPr>
          <w:rFonts w:cs="Times New Roman"/>
          <w:szCs w:val="24"/>
          <w:lang w:val="en-CA"/>
        </w:rPr>
        <w:fldChar w:fldCharType="begin"/>
      </w:r>
      <w:r w:rsidRPr="00B96CAA">
        <w:rPr>
          <w:rFonts w:cs="Times New Roman"/>
          <w:szCs w:val="24"/>
          <w:lang w:val="en-CA"/>
        </w:rPr>
        <w:instrText xml:space="preserve"> SEQ CHAPTER \h \r 1</w:instrText>
      </w:r>
      <w:r w:rsidRPr="00B96CAA">
        <w:rPr>
          <w:rFonts w:cs="Times New Roman"/>
          <w:szCs w:val="24"/>
          <w:lang w:val="en-CA"/>
        </w:rPr>
        <w:fldChar w:fldCharType="end"/>
      </w:r>
      <w:bookmarkStart w:id="54" w:name="_Toc16886267"/>
      <w:r w:rsidRPr="00B96CAA">
        <w:rPr>
          <w:rFonts w:cs="Times New Roman"/>
          <w:szCs w:val="24"/>
        </w:rPr>
        <w:t xml:space="preserve">Note: </w:t>
      </w:r>
      <w:proofErr w:type="spellStart"/>
      <w:r w:rsidRPr="00B96CAA">
        <w:rPr>
          <w:rFonts w:cs="Times New Roman"/>
          <w:i/>
          <w:iCs/>
          <w:szCs w:val="24"/>
        </w:rPr>
        <w:t>Matal</w:t>
      </w:r>
      <w:proofErr w:type="spellEnd"/>
      <w:r w:rsidRPr="00B96CAA">
        <w:rPr>
          <w:rFonts w:cs="Times New Roman"/>
          <w:i/>
          <w:iCs/>
          <w:szCs w:val="24"/>
        </w:rPr>
        <w:t xml:space="preserve"> v. Tam</w:t>
      </w:r>
      <w:r w:rsidRPr="00B96CAA">
        <w:rPr>
          <w:rFonts w:cs="Times New Roman"/>
          <w:szCs w:val="24"/>
        </w:rPr>
        <w:t xml:space="preserve"> (2017)</w:t>
      </w:r>
      <w:bookmarkEnd w:id="54"/>
    </w:p>
    <w:p w14:paraId="5454A879" w14:textId="77777777" w:rsidR="00675288" w:rsidRPr="00B96CAA" w:rsidRDefault="00675288" w:rsidP="00675288">
      <w:pPr>
        <w:ind w:firstLine="720"/>
        <w:rPr>
          <w:rFonts w:cs="Times New Roman"/>
          <w:szCs w:val="24"/>
        </w:rPr>
      </w:pPr>
      <w:r w:rsidRPr="00B96CAA">
        <w:rPr>
          <w:rFonts w:cs="Times New Roman"/>
          <w:szCs w:val="24"/>
        </w:rPr>
        <w:t xml:space="preserve">In </w:t>
      </w:r>
      <w:proofErr w:type="spellStart"/>
      <w:r w:rsidRPr="00B96CAA">
        <w:rPr>
          <w:rFonts w:cs="Times New Roman"/>
          <w:i/>
          <w:iCs/>
          <w:szCs w:val="24"/>
        </w:rPr>
        <w:t>Matal</w:t>
      </w:r>
      <w:proofErr w:type="spellEnd"/>
      <w:r w:rsidRPr="00B96CAA">
        <w:rPr>
          <w:rFonts w:cs="Times New Roman"/>
          <w:i/>
          <w:iCs/>
          <w:szCs w:val="24"/>
        </w:rPr>
        <w:t xml:space="preserve"> v. Tam </w:t>
      </w:r>
      <w:r w:rsidRPr="00B96CAA">
        <w:rPr>
          <w:rFonts w:cs="Times New Roman"/>
          <w:szCs w:val="24"/>
        </w:rPr>
        <w:t xml:space="preserve">the Court struck down a portion of the federal Trademark Act that allowed the Patent and Trademark Office (PTO) to deny trademark applications that may </w:t>
      </w:r>
      <w:r w:rsidRPr="00B96CAA">
        <w:rPr>
          <w:rFonts w:cs="Times New Roman"/>
          <w:szCs w:val="24"/>
        </w:rPr>
        <w:lastRenderedPageBreak/>
        <w:t xml:space="preserve">“disparage…or bring…into </w:t>
      </w:r>
      <w:proofErr w:type="spellStart"/>
      <w:r w:rsidRPr="00B96CAA">
        <w:rPr>
          <w:rFonts w:cs="Times New Roman"/>
          <w:szCs w:val="24"/>
        </w:rPr>
        <w:t>contemp</w:t>
      </w:r>
      <w:proofErr w:type="spellEnd"/>
      <w:r w:rsidRPr="00B96CAA">
        <w:rPr>
          <w:rFonts w:cs="Times New Roman"/>
          <w:szCs w:val="24"/>
        </w:rPr>
        <w:t>[t] or disrepute” any “persons, living or dead.” 15 U.S.C. 1052(a). This “disparagement” provision had most famously been at the center of a recent lawsuit brought by Native American activists to force the PTO to de-register the trademark of the NFL’s Washington Redskins.</w:t>
      </w:r>
    </w:p>
    <w:p w14:paraId="4ECFFB07" w14:textId="77777777" w:rsidR="00675288" w:rsidRPr="00B96CAA" w:rsidRDefault="00675288" w:rsidP="00675288">
      <w:pPr>
        <w:ind w:firstLine="720"/>
        <w:rPr>
          <w:rFonts w:cs="Times New Roman"/>
          <w:szCs w:val="24"/>
        </w:rPr>
      </w:pPr>
      <w:r w:rsidRPr="00B96CAA">
        <w:rPr>
          <w:rFonts w:cs="Times New Roman"/>
          <w:szCs w:val="24"/>
        </w:rPr>
        <w:t xml:space="preserve">In </w:t>
      </w:r>
      <w:proofErr w:type="spellStart"/>
      <w:r w:rsidRPr="00B96CAA">
        <w:rPr>
          <w:rFonts w:cs="Times New Roman"/>
          <w:i/>
          <w:iCs/>
          <w:szCs w:val="24"/>
        </w:rPr>
        <w:t>Matal</w:t>
      </w:r>
      <w:proofErr w:type="spellEnd"/>
      <w:r w:rsidRPr="00B96CAA">
        <w:rPr>
          <w:rFonts w:cs="Times New Roman"/>
          <w:szCs w:val="24"/>
        </w:rPr>
        <w:t xml:space="preserve">, the PTO had refused to register the name of an Asian rock band, “The Slants.” The band had chosen the name </w:t>
      </w:r>
      <w:r w:rsidRPr="00B96CAA">
        <w:rPr>
          <w:rFonts w:cs="Times New Roman"/>
          <w:i/>
          <w:iCs/>
          <w:szCs w:val="24"/>
        </w:rPr>
        <w:t>because</w:t>
      </w:r>
      <w:r w:rsidRPr="00B96CAA">
        <w:rPr>
          <w:rFonts w:cs="Times New Roman"/>
          <w:szCs w:val="24"/>
        </w:rPr>
        <w:t xml:space="preserve"> it is a derogatory term applied to Asians and they wished to dilute the term’s denigrating force. In a case heard before Justice </w:t>
      </w:r>
      <w:proofErr w:type="spellStart"/>
      <w:r w:rsidRPr="00B96CAA">
        <w:rPr>
          <w:rFonts w:cs="Times New Roman"/>
          <w:szCs w:val="24"/>
        </w:rPr>
        <w:t>Goresuch</w:t>
      </w:r>
      <w:proofErr w:type="spellEnd"/>
      <w:r w:rsidRPr="00B96CAA">
        <w:rPr>
          <w:rFonts w:cs="Times New Roman"/>
          <w:szCs w:val="24"/>
        </w:rPr>
        <w:t xml:space="preserve"> joined the Court, the Court ruled unanimously that the provision was unconstitutional, but split 4-4 on its reasoning. While the statute is now defunct, there is no binding opinion as to the analysis to be applied to such challenges.</w:t>
      </w:r>
    </w:p>
    <w:p w14:paraId="1BDE29EA" w14:textId="1409A88F" w:rsidR="00675288" w:rsidRPr="00B96CAA" w:rsidRDefault="00675288" w:rsidP="00675288">
      <w:pPr>
        <w:ind w:firstLine="720"/>
        <w:rPr>
          <w:rFonts w:cs="Times New Roman"/>
          <w:szCs w:val="24"/>
        </w:rPr>
      </w:pPr>
      <w:r w:rsidRPr="00B96CAA">
        <w:rPr>
          <w:rFonts w:cs="Times New Roman"/>
          <w:szCs w:val="24"/>
        </w:rPr>
        <w:t xml:space="preserve">All of the justices did agree that issuing a trademark did </w:t>
      </w:r>
      <w:r w:rsidRPr="00B96CAA">
        <w:rPr>
          <w:rFonts w:cs="Times New Roman"/>
          <w:i/>
          <w:iCs/>
          <w:szCs w:val="24"/>
        </w:rPr>
        <w:t xml:space="preserve">not </w:t>
      </w:r>
      <w:r w:rsidRPr="00B96CAA">
        <w:rPr>
          <w:rFonts w:cs="Times New Roman"/>
          <w:szCs w:val="24"/>
        </w:rPr>
        <w:t xml:space="preserve">constitute government speech. The government speech analysis of </w:t>
      </w:r>
      <w:r w:rsidRPr="00B96CAA">
        <w:rPr>
          <w:rFonts w:cs="Times New Roman"/>
          <w:i/>
          <w:iCs/>
          <w:szCs w:val="24"/>
        </w:rPr>
        <w:t>Walker</w:t>
      </w:r>
      <w:r w:rsidRPr="00B96CAA">
        <w:rPr>
          <w:rFonts w:cs="Times New Roman"/>
          <w:szCs w:val="24"/>
        </w:rPr>
        <w:t xml:space="preserve"> v. </w:t>
      </w:r>
      <w:r w:rsidRPr="00B96CAA">
        <w:rPr>
          <w:rFonts w:cs="Times New Roman"/>
          <w:i/>
          <w:iCs/>
          <w:szCs w:val="24"/>
        </w:rPr>
        <w:t>Texas Div., Sons of Confederate Veterans, Inc.</w:t>
      </w:r>
      <w:r w:rsidRPr="00B96CAA">
        <w:rPr>
          <w:rFonts w:cs="Times New Roman"/>
          <w:szCs w:val="24"/>
        </w:rPr>
        <w:t xml:space="preserve"> (2015), accordingly did not apply. The government had argued that trademarks constituted commercial speech and the statute should therefore be subjected only to intermediate scrutiny. Justice Alito, joined by Chief Justice Roberts and Breyer and Thomas, JJ., viewed the case through the lens of commercial speech. However, he said that the government’s justifications for the statute failed even the intermediate scrutiny test set out in </w:t>
      </w:r>
      <w:r w:rsidRPr="00B96CAA">
        <w:rPr>
          <w:rFonts w:cs="Times New Roman"/>
          <w:i/>
          <w:iCs/>
          <w:szCs w:val="24"/>
        </w:rPr>
        <w:t xml:space="preserve">Central Hudson Gas &amp; Elect. </w:t>
      </w:r>
      <w:r w:rsidRPr="00B96CAA">
        <w:rPr>
          <w:rFonts w:cs="Times New Roman"/>
          <w:szCs w:val="24"/>
        </w:rPr>
        <w:t xml:space="preserve">v. </w:t>
      </w:r>
      <w:r w:rsidRPr="00B96CAA">
        <w:rPr>
          <w:rFonts w:cs="Times New Roman"/>
          <w:i/>
          <w:iCs/>
          <w:szCs w:val="24"/>
        </w:rPr>
        <w:t xml:space="preserve">Public Serv. Comm’n of N. Y. </w:t>
      </w:r>
      <w:r w:rsidRPr="00B96CAA">
        <w:rPr>
          <w:rFonts w:cs="Times New Roman"/>
          <w:szCs w:val="24"/>
        </w:rPr>
        <w:t xml:space="preserve">(1980): “Under </w:t>
      </w:r>
      <w:r w:rsidRPr="00B96CAA">
        <w:rPr>
          <w:rFonts w:cs="Times New Roman"/>
          <w:i/>
          <w:iCs/>
          <w:szCs w:val="24"/>
        </w:rPr>
        <w:t>Central Hudson</w:t>
      </w:r>
      <w:r w:rsidRPr="00B96CAA">
        <w:rPr>
          <w:rFonts w:cs="Times New Roman"/>
          <w:szCs w:val="24"/>
        </w:rPr>
        <w:t xml:space="preserve">, a restriction of speech must serve “a substantial interest,” and it must be “narrowly drawn.” This means, among other things, that “[t]he regulatory technique may extend only as far as the interest it serves.” The disparagement clause fails this requirement.” </w:t>
      </w:r>
    </w:p>
    <w:p w14:paraId="34FABED7" w14:textId="5194253A" w:rsidR="00675288" w:rsidRPr="00B96CAA" w:rsidRDefault="00675288" w:rsidP="00675288">
      <w:pPr>
        <w:ind w:firstLine="720"/>
        <w:rPr>
          <w:rFonts w:cs="Times New Roman"/>
          <w:szCs w:val="24"/>
        </w:rPr>
      </w:pPr>
      <w:r w:rsidRPr="00B96CAA">
        <w:rPr>
          <w:rFonts w:cs="Times New Roman"/>
          <w:szCs w:val="24"/>
        </w:rPr>
        <w:t>Justice Kennedy, joined by Ginsburg, Sotomayor, and Kagan, JJ., contended that the statute allowed viewpoint discrimination and must be subjected to strict scrutiny: “The danger of viewpoint discrimination is that the government is attempting to remove certain ideas or perspectives from a broader debate. That danger is all the greater if the ideas or perspectives are ones a particular audience might think offensive….” This opinion did not mention commercial speech at all.</w:t>
      </w:r>
    </w:p>
    <w:p w14:paraId="127806DD" w14:textId="77777777" w:rsidR="00675288" w:rsidRPr="00B96CAA" w:rsidRDefault="00675288" w:rsidP="00675288">
      <w:pPr>
        <w:ind w:firstLine="720"/>
        <w:rPr>
          <w:rFonts w:cs="Times New Roman"/>
          <w:szCs w:val="24"/>
        </w:rPr>
      </w:pPr>
      <w:r w:rsidRPr="00B96CAA">
        <w:rPr>
          <w:rFonts w:cs="Times New Roman"/>
          <w:szCs w:val="24"/>
        </w:rPr>
        <w:t xml:space="preserve">Justice Thomas joined the Alito opinion, but concurred to say that he rejects the </w:t>
      </w:r>
      <w:r w:rsidRPr="00B96CAA">
        <w:rPr>
          <w:rFonts w:cs="Times New Roman"/>
          <w:i/>
          <w:iCs/>
          <w:szCs w:val="24"/>
        </w:rPr>
        <w:t>Central Hudson</w:t>
      </w:r>
      <w:r w:rsidRPr="00B96CAA">
        <w:rPr>
          <w:rFonts w:cs="Times New Roman"/>
          <w:szCs w:val="24"/>
        </w:rPr>
        <w:t xml:space="preserve"> test and believes that statutes that restrict commercial speech should be subjected to strict scrutiny. Some commentators speculated that the Alito/Kennedy split may reflect a disagreement on whether or not to adopt the Thomas perspective on commercial speech should a proper case arise.</w:t>
      </w:r>
    </w:p>
    <w:p w14:paraId="21AC0E13" w14:textId="77777777" w:rsidR="00675288" w:rsidRPr="00B96CAA" w:rsidRDefault="00675288" w:rsidP="00675288">
      <w:pPr>
        <w:ind w:firstLine="720"/>
        <w:rPr>
          <w:rFonts w:cs="Times New Roman"/>
          <w:szCs w:val="24"/>
        </w:rPr>
      </w:pPr>
      <w:r w:rsidRPr="00B96CAA">
        <w:rPr>
          <w:rFonts w:cs="Times New Roman"/>
          <w:szCs w:val="24"/>
        </w:rPr>
        <w:t xml:space="preserve">The </w:t>
      </w:r>
      <w:proofErr w:type="spellStart"/>
      <w:r w:rsidRPr="00B96CAA">
        <w:rPr>
          <w:rFonts w:cs="Times New Roman"/>
          <w:i/>
          <w:iCs/>
          <w:szCs w:val="24"/>
        </w:rPr>
        <w:t>Matal</w:t>
      </w:r>
      <w:proofErr w:type="spellEnd"/>
      <w:r w:rsidRPr="00B96CAA">
        <w:rPr>
          <w:rFonts w:cs="Times New Roman"/>
          <w:i/>
          <w:iCs/>
          <w:szCs w:val="24"/>
        </w:rPr>
        <w:t xml:space="preserve"> </w:t>
      </w:r>
      <w:r w:rsidRPr="00B96CAA">
        <w:rPr>
          <w:rFonts w:cs="Times New Roman"/>
          <w:szCs w:val="24"/>
        </w:rPr>
        <w:t>decision effectively ended the Washington Redskin litigation. The team’s trademark is now secure.</w:t>
      </w:r>
    </w:p>
    <w:p w14:paraId="60A4B4CF" w14:textId="77777777" w:rsidR="00675288" w:rsidRPr="00B96CAA" w:rsidRDefault="00675288" w:rsidP="00675288">
      <w:pPr>
        <w:spacing w:after="0" w:line="240" w:lineRule="auto"/>
        <w:rPr>
          <w:rFonts w:cs="Times New Roman"/>
          <w:szCs w:val="24"/>
        </w:rPr>
      </w:pPr>
      <w:r w:rsidRPr="00B96CAA">
        <w:rPr>
          <w:rFonts w:cs="Times New Roman"/>
          <w:szCs w:val="24"/>
        </w:rPr>
        <w:br w:type="page"/>
      </w:r>
    </w:p>
    <w:p w14:paraId="29B95519" w14:textId="1E9BECAB" w:rsidR="00675288" w:rsidRPr="00336355" w:rsidRDefault="00675288" w:rsidP="00675288">
      <w:pPr>
        <w:pStyle w:val="Heading2"/>
        <w:ind w:left="720" w:hanging="720"/>
        <w:rPr>
          <w:rFonts w:cs="Times New Roman"/>
          <w:szCs w:val="24"/>
        </w:rPr>
      </w:pPr>
      <w:bookmarkStart w:id="55" w:name="_Toc16886268"/>
      <w:proofErr w:type="spellStart"/>
      <w:r w:rsidRPr="00B96CAA">
        <w:rPr>
          <w:rFonts w:cs="Times New Roman"/>
          <w:szCs w:val="24"/>
        </w:rPr>
        <w:lastRenderedPageBreak/>
        <w:t>Chaper</w:t>
      </w:r>
      <w:proofErr w:type="spellEnd"/>
      <w:r w:rsidRPr="00B96CAA">
        <w:rPr>
          <w:rFonts w:cs="Times New Roman"/>
          <w:szCs w:val="24"/>
        </w:rPr>
        <w:t xml:space="preserve"> 12</w:t>
      </w:r>
      <w:r w:rsidR="0063530F" w:rsidRPr="00B96CAA">
        <w:rPr>
          <w:rFonts w:cs="Times New Roman"/>
          <w:szCs w:val="24"/>
        </w:rPr>
        <w:t>.</w:t>
      </w:r>
      <w:r w:rsidRPr="00B96CAA">
        <w:rPr>
          <w:rFonts w:cs="Times New Roman"/>
          <w:szCs w:val="24"/>
        </w:rPr>
        <w:t xml:space="preserve"> Freedom of Religion. Section I</w:t>
      </w:r>
      <w:r w:rsidR="00336355">
        <w:rPr>
          <w:rFonts w:cs="Times New Roman"/>
          <w:szCs w:val="24"/>
        </w:rPr>
        <w:t xml:space="preserve">II-B-2, </w:t>
      </w:r>
      <w:r w:rsidR="00336355" w:rsidRPr="00336355">
        <w:rPr>
          <w:rFonts w:cs="Times New Roman"/>
          <w:szCs w:val="24"/>
        </w:rPr>
        <w:t>Government Financial Aid to Religious Institutions</w:t>
      </w:r>
      <w:bookmarkEnd w:id="55"/>
    </w:p>
    <w:p w14:paraId="46026923" w14:textId="0914EA36" w:rsidR="00675288" w:rsidRPr="00171684" w:rsidRDefault="00675288" w:rsidP="00675288">
      <w:pPr>
        <w:rPr>
          <w:rFonts w:cs="Times New Roman"/>
          <w:szCs w:val="24"/>
        </w:rPr>
      </w:pPr>
      <w:r w:rsidRPr="00B96CAA">
        <w:rPr>
          <w:rFonts w:cs="Times New Roman"/>
          <w:szCs w:val="24"/>
        </w:rPr>
        <w:t>[</w:t>
      </w:r>
      <w:r w:rsidRPr="00171684">
        <w:rPr>
          <w:rFonts w:cs="Times New Roman"/>
          <w:i/>
          <w:szCs w:val="24"/>
        </w:rPr>
        <w:t>Insert on page 14</w:t>
      </w:r>
      <w:r w:rsidR="002A2916" w:rsidRPr="00171684">
        <w:rPr>
          <w:rFonts w:cs="Times New Roman"/>
          <w:i/>
          <w:szCs w:val="24"/>
        </w:rPr>
        <w:t>26</w:t>
      </w:r>
      <w:r w:rsidRPr="00171684">
        <w:rPr>
          <w:rFonts w:cs="Times New Roman"/>
          <w:i/>
          <w:szCs w:val="24"/>
        </w:rPr>
        <w:t xml:space="preserve"> after </w:t>
      </w:r>
      <w:r w:rsidR="002A2916" w:rsidRPr="00171684">
        <w:rPr>
          <w:rFonts w:cs="Times New Roman"/>
          <w:bCs/>
          <w:szCs w:val="24"/>
        </w:rPr>
        <w:t>Zelman v. Simmons-Harris</w:t>
      </w:r>
      <w:r w:rsidRPr="00B96CAA">
        <w:rPr>
          <w:rFonts w:cs="Times New Roman"/>
          <w:i/>
          <w:szCs w:val="24"/>
        </w:rPr>
        <w:t>.</w:t>
      </w:r>
      <w:r w:rsidR="00171684">
        <w:rPr>
          <w:rFonts w:cs="Times New Roman"/>
          <w:szCs w:val="24"/>
        </w:rPr>
        <w:t>]</w:t>
      </w:r>
    </w:p>
    <w:p w14:paraId="1D53B75E" w14:textId="77777777" w:rsidR="002A2916" w:rsidRPr="00FE438F" w:rsidRDefault="002A2916" w:rsidP="00B42F0F">
      <w:pPr>
        <w:pStyle w:val="Heading3"/>
        <w:jc w:val="center"/>
      </w:pPr>
      <w:bookmarkStart w:id="56" w:name="_Toc16886269"/>
      <w:r>
        <w:t xml:space="preserve">Note: </w:t>
      </w:r>
      <w:r w:rsidRPr="00B42F0F">
        <w:rPr>
          <w:i/>
        </w:rPr>
        <w:t>American Legion v. American Humanist Association</w:t>
      </w:r>
      <w:r>
        <w:t xml:space="preserve"> </w:t>
      </w:r>
      <w:r w:rsidRPr="00E87BD0">
        <w:t>(2019)</w:t>
      </w:r>
      <w:bookmarkEnd w:id="56"/>
    </w:p>
    <w:p w14:paraId="2FAE4D78" w14:textId="77777777" w:rsidR="002A2916" w:rsidRPr="00FE438F" w:rsidRDefault="002A2916" w:rsidP="002A2916">
      <w:pPr>
        <w:rPr>
          <w:szCs w:val="24"/>
        </w:rPr>
      </w:pPr>
      <w:r w:rsidRPr="00FE438F">
        <w:rPr>
          <w:b/>
          <w:szCs w:val="24"/>
        </w:rPr>
        <w:tab/>
      </w:r>
      <w:r w:rsidRPr="00FE438F">
        <w:rPr>
          <w:szCs w:val="24"/>
        </w:rPr>
        <w:t xml:space="preserve">The Supreme Court explicitly criticized and bypassed the </w:t>
      </w:r>
      <w:r w:rsidRPr="00FE438F">
        <w:rPr>
          <w:i/>
          <w:szCs w:val="24"/>
        </w:rPr>
        <w:t>Lemon</w:t>
      </w:r>
      <w:r w:rsidRPr="00FE438F">
        <w:rPr>
          <w:szCs w:val="24"/>
        </w:rPr>
        <w:t xml:space="preserve"> test, but did not overrule it, in a seven-to-two decision that the display of a </w:t>
      </w:r>
      <w:proofErr w:type="gramStart"/>
      <w:r w:rsidRPr="00FE438F">
        <w:rPr>
          <w:szCs w:val="24"/>
        </w:rPr>
        <w:t>thirty-two foot high</w:t>
      </w:r>
      <w:proofErr w:type="gramEnd"/>
      <w:r w:rsidRPr="00FE438F">
        <w:rPr>
          <w:szCs w:val="24"/>
        </w:rPr>
        <w:t xml:space="preserve"> cross on public property does not violate the establishment clause. The Court ruled that the cross, which was erected in Maryland in 1925 to honor forty-nine local soldiers who died in the First World War and is owned and maintained by a state parks commission, commemorates sacrifice for the ideals of democracy rather than serving as a symbol of Christianity. The Court found no evidence of any discrimination against non-Christians in the construction or maintenance of the cross and explained that the removal or radical alteration” of this “prominent community landmark” after nearly a century “would be seen by many not as a neutral act but as the manifestation of” hostility toward religion.</w:t>
      </w:r>
    </w:p>
    <w:p w14:paraId="16275D9A" w14:textId="77777777" w:rsidR="002A2916" w:rsidRPr="00FE438F" w:rsidRDefault="002A2916" w:rsidP="002A2916">
      <w:pPr>
        <w:rPr>
          <w:szCs w:val="24"/>
        </w:rPr>
      </w:pPr>
      <w:r w:rsidRPr="00FE438F">
        <w:rPr>
          <w:szCs w:val="24"/>
        </w:rPr>
        <w:tab/>
        <w:t xml:space="preserve">In determining that the cross symbolized secular ideals rather than the Christian religion, Justice Alioto’s opinion for the Court, emphasized that “the Cross has served as the site of patriotic events honoring veterans, including gatherings on Veterans Day, Memorial Day, and Independence Day.” The Court also pointed out that memorials honoring veterans of other military conflicts have been placed nearby. The Court stated that the cross’s original use as a Christian symbol and the fact that it “retains that meaning in many contexts does not change the fact the symbol took on an added secular meaning when used in World War I memorials.” The cross, the Court explained, reminds people “of the deeds of their predecessors and of the sacrifices they made in a war fought in the name of democracy.” </w:t>
      </w:r>
    </w:p>
    <w:p w14:paraId="1D59FADE" w14:textId="77777777" w:rsidR="002A2916" w:rsidRPr="00FE438F" w:rsidRDefault="002A2916" w:rsidP="002A2916">
      <w:pPr>
        <w:rPr>
          <w:szCs w:val="24"/>
        </w:rPr>
      </w:pPr>
      <w:r w:rsidRPr="00FE438F">
        <w:rPr>
          <w:szCs w:val="24"/>
        </w:rPr>
        <w:tab/>
        <w:t xml:space="preserve">The Court also found no evidence that the use of the cross in the memorial was intended to disparage non-Christians, including the 3,500 American Jewish soldiers who died in the First World War. The Court likewise pointed out that the cross’s memorial plaque includes the name of both white and black soldiers and that the dedication ceremony began with an invocation from a Roman Catholic priest and ended with a benediction from a Baptist minister at a time when ecumenical ceremonies were rare. “We can never know for certain what was in the minds of those responsible for the memorial,” the Court remarked, “but in light of what we know about this ceremony, we can perhaps make out a picture of a community that, at least for the moment, was united by grief and patriotism and rose above the divisions of the day.” </w:t>
      </w:r>
    </w:p>
    <w:p w14:paraId="4E4D2DF7" w14:textId="77777777" w:rsidR="002A2916" w:rsidRPr="00FE438F" w:rsidRDefault="002A2916" w:rsidP="002A2916">
      <w:pPr>
        <w:rPr>
          <w:szCs w:val="24"/>
        </w:rPr>
      </w:pPr>
      <w:r w:rsidRPr="00FE438F">
        <w:rPr>
          <w:szCs w:val="24"/>
        </w:rPr>
        <w:tab/>
        <w:t xml:space="preserve">The lower courts in the case had applied the </w:t>
      </w:r>
      <w:r w:rsidRPr="00FE438F">
        <w:rPr>
          <w:i/>
          <w:szCs w:val="24"/>
        </w:rPr>
        <w:t>Lemon</w:t>
      </w:r>
      <w:r w:rsidRPr="00FE438F">
        <w:rPr>
          <w:szCs w:val="24"/>
        </w:rPr>
        <w:t xml:space="preserve"> test, with the District Court holding the cross satisfied all three prongs and the Court of Appeals finding that it failed the “effects” prong because a reasonable person would regard it as an endorsement of Christianity. </w:t>
      </w:r>
    </w:p>
    <w:p w14:paraId="6E492965" w14:textId="77777777" w:rsidR="002A2916" w:rsidRPr="00FE438F" w:rsidRDefault="002A2916" w:rsidP="002A2916">
      <w:pPr>
        <w:rPr>
          <w:szCs w:val="24"/>
        </w:rPr>
      </w:pPr>
      <w:r w:rsidRPr="00FE438F">
        <w:rPr>
          <w:szCs w:val="24"/>
        </w:rPr>
        <w:tab/>
        <w:t xml:space="preserve">In criticizing the </w:t>
      </w:r>
      <w:r w:rsidRPr="00FE438F">
        <w:rPr>
          <w:i/>
          <w:szCs w:val="24"/>
        </w:rPr>
        <w:t xml:space="preserve">Lemon </w:t>
      </w:r>
      <w:r w:rsidRPr="00FE438F">
        <w:rPr>
          <w:szCs w:val="24"/>
        </w:rPr>
        <w:t xml:space="preserve">test, the Court explained that the test has been unable to resolve establishment clause issues involving a “great array of laws and practices.”  The Court pointed </w:t>
      </w:r>
      <w:r w:rsidRPr="00FE438F">
        <w:rPr>
          <w:szCs w:val="24"/>
        </w:rPr>
        <w:lastRenderedPageBreak/>
        <w:t>out that in many cases it “has either expressly declined to apply the test or has simply ignored it.” The test, the Court observed, “has been harshly criticized by Members of this Court, lamented by lower court judges, and questioned by a diverse roster of scholars.” The Court declared that “[w]</w:t>
      </w:r>
      <w:proofErr w:type="spellStart"/>
      <w:r w:rsidRPr="00FE438F">
        <w:rPr>
          <w:szCs w:val="24"/>
        </w:rPr>
        <w:t>hile</w:t>
      </w:r>
      <w:proofErr w:type="spellEnd"/>
      <w:r w:rsidRPr="00FE438F">
        <w:rPr>
          <w:szCs w:val="24"/>
        </w:rPr>
        <w:t xml:space="preserve"> the </w:t>
      </w:r>
      <w:r w:rsidRPr="00FE438F">
        <w:rPr>
          <w:i/>
          <w:szCs w:val="24"/>
        </w:rPr>
        <w:t>Lemon</w:t>
      </w:r>
      <w:r w:rsidRPr="00FE438F">
        <w:rPr>
          <w:szCs w:val="24"/>
        </w:rPr>
        <w:t xml:space="preserve"> Court ambitiously attempted to find a grand unified theory of the Establishment Clause, in later cases, we have taken a more modest approach that focuses on the particular issue at hand and looks to history for guidance.” As examples, the Court cited its decisions allowing legislative prayer in </w:t>
      </w:r>
      <w:r w:rsidRPr="00FE438F">
        <w:rPr>
          <w:i/>
          <w:szCs w:val="24"/>
        </w:rPr>
        <w:t>Marsh v. Chambers</w:t>
      </w:r>
      <w:r w:rsidRPr="00FE438F">
        <w:rPr>
          <w:szCs w:val="24"/>
        </w:rPr>
        <w:t xml:space="preserve"> (1983) and </w:t>
      </w:r>
      <w:r w:rsidRPr="00FE438F">
        <w:rPr>
          <w:i/>
          <w:szCs w:val="24"/>
        </w:rPr>
        <w:t>Town of Greece v. Galloway</w:t>
      </w:r>
      <w:r w:rsidRPr="00FE438F">
        <w:rPr>
          <w:szCs w:val="24"/>
        </w:rPr>
        <w:t xml:space="preserve"> (2014). </w:t>
      </w:r>
    </w:p>
    <w:p w14:paraId="4F52B118" w14:textId="77777777" w:rsidR="002A2916" w:rsidRPr="00FE438F" w:rsidRDefault="002A2916" w:rsidP="002A2916">
      <w:pPr>
        <w:rPr>
          <w:szCs w:val="24"/>
        </w:rPr>
      </w:pPr>
      <w:r w:rsidRPr="00FE438F">
        <w:rPr>
          <w:szCs w:val="24"/>
        </w:rPr>
        <w:tab/>
        <w:t xml:space="preserve">The Court identified four reasons why “the </w:t>
      </w:r>
      <w:r w:rsidRPr="00FE438F">
        <w:rPr>
          <w:i/>
          <w:szCs w:val="24"/>
        </w:rPr>
        <w:t>Lemon</w:t>
      </w:r>
      <w:r w:rsidRPr="00FE438F">
        <w:rPr>
          <w:szCs w:val="24"/>
        </w:rPr>
        <w:t xml:space="preserve"> test presents particularly daunting problems in cases, involving the one now before us, that involve the use, for ceremonial, celebratory, or commemorative purposes, of words or symbols with religious associations.” The Court declared that “[t]</w:t>
      </w:r>
      <w:proofErr w:type="spellStart"/>
      <w:r w:rsidRPr="00FE438F">
        <w:rPr>
          <w:szCs w:val="24"/>
        </w:rPr>
        <w:t>ogether</w:t>
      </w:r>
      <w:proofErr w:type="spellEnd"/>
      <w:r w:rsidRPr="00FE438F">
        <w:rPr>
          <w:szCs w:val="24"/>
        </w:rPr>
        <w:t xml:space="preserve">, these considerations counsel against efforts to evaluate such cases under </w:t>
      </w:r>
      <w:r w:rsidRPr="00FE438F">
        <w:rPr>
          <w:i/>
          <w:szCs w:val="24"/>
        </w:rPr>
        <w:t>Lemon</w:t>
      </w:r>
      <w:r w:rsidRPr="00FE438F">
        <w:rPr>
          <w:szCs w:val="24"/>
        </w:rPr>
        <w:t xml:space="preserve"> and support “application of a presumption of constitutionality for longstanding monuments, symbols, and practices.” </w:t>
      </w:r>
    </w:p>
    <w:p w14:paraId="47732229" w14:textId="77777777" w:rsidR="002A2916" w:rsidRPr="00FE438F" w:rsidRDefault="002A2916" w:rsidP="002A2916">
      <w:pPr>
        <w:rPr>
          <w:szCs w:val="24"/>
        </w:rPr>
      </w:pPr>
      <w:r w:rsidRPr="00FE438F">
        <w:rPr>
          <w:szCs w:val="24"/>
        </w:rPr>
        <w:tab/>
        <w:t xml:space="preserve">The first problem, according to the Court, is that the secular purpose prong of </w:t>
      </w:r>
      <w:r w:rsidRPr="00FE438F">
        <w:rPr>
          <w:i/>
          <w:szCs w:val="24"/>
        </w:rPr>
        <w:t>Lemon</w:t>
      </w:r>
      <w:r w:rsidRPr="00FE438F">
        <w:rPr>
          <w:szCs w:val="24"/>
        </w:rPr>
        <w:t xml:space="preserve"> is difficult to apply in cases involving “monuments, symbols, or practices that were first established long ago” since the intentions of long-deceased persons often cannot be discerned.</w:t>
      </w:r>
    </w:p>
    <w:p w14:paraId="3A68544A" w14:textId="77777777" w:rsidR="002A2916" w:rsidRPr="00FE438F" w:rsidRDefault="002A2916" w:rsidP="002A2916">
      <w:pPr>
        <w:rPr>
          <w:szCs w:val="24"/>
        </w:rPr>
      </w:pPr>
      <w:r w:rsidRPr="00FE438F">
        <w:rPr>
          <w:szCs w:val="24"/>
        </w:rPr>
        <w:tab/>
        <w:t xml:space="preserve">Second, the Court explained that “as time goes by, the purposes associated with an established monument, symbol, or practice often multiply.” The Court used the Ten Commandments as an example of a religious precept that also has come to have secular connotations. As American society becomes increasingly diverse, the Court explained, the passage of time may obscure the original religious purpose of monuments, symbols, or practices and communities may preserve them “for the sake of their historical significance or their place in a common cultural heritage.” </w:t>
      </w:r>
    </w:p>
    <w:p w14:paraId="0C0FE9E9" w14:textId="77777777" w:rsidR="002A2916" w:rsidRPr="00FE438F" w:rsidRDefault="002A2916" w:rsidP="002A2916">
      <w:pPr>
        <w:rPr>
          <w:szCs w:val="24"/>
        </w:rPr>
      </w:pPr>
      <w:r w:rsidRPr="00FE438F">
        <w:rPr>
          <w:szCs w:val="24"/>
        </w:rPr>
        <w:tab/>
        <w:t xml:space="preserve">Similarly, the Court found that a third reason why the </w:t>
      </w:r>
      <w:r w:rsidRPr="00FE438F">
        <w:rPr>
          <w:i/>
          <w:szCs w:val="24"/>
        </w:rPr>
        <w:t xml:space="preserve">Lemon </w:t>
      </w:r>
      <w:r w:rsidRPr="00FE438F">
        <w:rPr>
          <w:szCs w:val="24"/>
        </w:rPr>
        <w:t>test may be difficult to apply is that the messages conveyed by such monuments, symbols, or practices may change over time.  As an example, the Court pointed out that religion motivated the naming of cities such as Providence, Rhode Island, Bethlehem, Pennsylvania, and Corpus Christi, Texas, but that “few would argue that this history requires that these names be erased from the map.”</w:t>
      </w:r>
    </w:p>
    <w:p w14:paraId="1DDB90D6" w14:textId="77777777" w:rsidR="002A2916" w:rsidRPr="00FE438F" w:rsidRDefault="002A2916" w:rsidP="002A2916">
      <w:pPr>
        <w:rPr>
          <w:szCs w:val="24"/>
        </w:rPr>
      </w:pPr>
      <w:r w:rsidRPr="00FE438F">
        <w:rPr>
          <w:szCs w:val="24"/>
        </w:rPr>
        <w:tab/>
        <w:t xml:space="preserve">Fourth, the Court explained that “when time’s passage imbues a religiously expressive monument, symbol, or practice with this kind of familiarity and historical significance, removing it may no longer appear neutral, especially to the local community for which it has taken on a particular meaning. A government that roams the land, tearing down monuments with religious symbolism and scrubbing away any reference to the divine will strike many as aggressively hostile to religion.” Such removals, Alito warned, could be “evocative, disturbing, and divisive.” </w:t>
      </w:r>
    </w:p>
    <w:p w14:paraId="1EFF40D5" w14:textId="77777777" w:rsidR="002A2916" w:rsidRPr="00FE438F" w:rsidRDefault="002A2916" w:rsidP="002A2916">
      <w:pPr>
        <w:rPr>
          <w:szCs w:val="24"/>
        </w:rPr>
      </w:pPr>
      <w:r w:rsidRPr="00FE438F">
        <w:rPr>
          <w:szCs w:val="24"/>
        </w:rPr>
        <w:tab/>
        <w:t xml:space="preserve">In a brief concurring opinion joined by Justice Kagan, Justice Breyer maintained that “there is no single formula for resolving Establishment Clause challenges…The Court must </w:t>
      </w:r>
      <w:r w:rsidRPr="00FE438F">
        <w:rPr>
          <w:szCs w:val="24"/>
        </w:rPr>
        <w:lastRenderedPageBreak/>
        <w:t xml:space="preserve">instead consider each case in light of the basic purposes that the Religion Clauses were meant to serve: assuring religious liberty and tolerance for all, avoiding religiously based social conflict, and maintaining that separation of church and state that allows each to flourish” in its separate sphere. In a separate concurring opinion, Kagan wrote that while “rigid application of the </w:t>
      </w:r>
      <w:r w:rsidRPr="00FE438F">
        <w:rPr>
          <w:i/>
          <w:szCs w:val="24"/>
        </w:rPr>
        <w:t>Lemon</w:t>
      </w:r>
      <w:r w:rsidRPr="00FE438F">
        <w:rPr>
          <w:szCs w:val="24"/>
        </w:rPr>
        <w:t xml:space="preserve"> test does not solve every Establishment Clause problem…that test’s focus on purposes and effects is crucial in evaluating government action in this sphere – as this very suit shows.” </w:t>
      </w:r>
    </w:p>
    <w:p w14:paraId="2260AAA8" w14:textId="77777777" w:rsidR="002A2916" w:rsidRPr="00FE438F" w:rsidRDefault="002A2916" w:rsidP="002A2916">
      <w:pPr>
        <w:rPr>
          <w:szCs w:val="24"/>
        </w:rPr>
      </w:pPr>
      <w:r w:rsidRPr="00FE438F">
        <w:rPr>
          <w:szCs w:val="24"/>
        </w:rPr>
        <w:tab/>
        <w:t xml:space="preserve">Justices Kavanaugh was sharply critical of the </w:t>
      </w:r>
      <w:r w:rsidRPr="00FE438F">
        <w:rPr>
          <w:i/>
          <w:szCs w:val="24"/>
        </w:rPr>
        <w:t>Lemon</w:t>
      </w:r>
      <w:r w:rsidRPr="00FE438F">
        <w:rPr>
          <w:szCs w:val="24"/>
        </w:rPr>
        <w:t xml:space="preserve"> test in a separate concurring opinion. Kavanaugh argued that the Court had not faithfully applied </w:t>
      </w:r>
      <w:r w:rsidRPr="00FE438F">
        <w:rPr>
          <w:i/>
          <w:szCs w:val="24"/>
        </w:rPr>
        <w:t>Lemon</w:t>
      </w:r>
      <w:r w:rsidRPr="00FE438F">
        <w:rPr>
          <w:szCs w:val="24"/>
        </w:rPr>
        <w:t xml:space="preserve"> to the five major categories of Establishment Clause cases: “(1) religious symbols on government property and religious speech at government events; (2) religious accommodations and exemptions from generally applicable laws; (3) government benefits and tax exemptions for religious organizations; (4) religious expression in public schools; and (5) regulation of private religious speech in public forums.” Kavanagh explained that the Court in the first category of cases “has relied on history and tradition and upheld various religious symbols on government property and speech at government events.” In the second category, the “Court has allowed legislative accommodations for religious activity and upheld legislatively granted religious exemptions from generally applicable laws.” In the third category, “the Court likewise has upheld government benefits and tax exemptions that go to religious organizations, even though those policies have the effect of advancing or endorsing religion.” The Court in the fourth category, Kavanagh argued, has prohibited prayer in public schools “not because of </w:t>
      </w:r>
      <w:r w:rsidRPr="00FE438F">
        <w:rPr>
          <w:i/>
          <w:szCs w:val="24"/>
        </w:rPr>
        <w:t>Lemon,</w:t>
      </w:r>
      <w:r w:rsidRPr="00FE438F">
        <w:rPr>
          <w:szCs w:val="24"/>
        </w:rPr>
        <w:t xml:space="preserve"> but because the Court concluded that government-sponsored prayer in public schools posed a risk of coercion of students.” Kavanaugh likewise concluded that the Court had bypassed </w:t>
      </w:r>
      <w:r w:rsidRPr="00FE438F">
        <w:rPr>
          <w:i/>
          <w:szCs w:val="24"/>
        </w:rPr>
        <w:t>Lemon</w:t>
      </w:r>
      <w:r w:rsidRPr="00FE438F">
        <w:rPr>
          <w:szCs w:val="24"/>
        </w:rPr>
        <w:t xml:space="preserve"> in the fifth category of cases by allowing “private religious speech in public forums on an equal basis with secular speech.”  </w:t>
      </w:r>
    </w:p>
    <w:p w14:paraId="49843BA6" w14:textId="77777777" w:rsidR="002A2916" w:rsidRPr="00FE438F" w:rsidRDefault="002A2916" w:rsidP="002A2916">
      <w:pPr>
        <w:ind w:firstLine="720"/>
        <w:rPr>
          <w:szCs w:val="24"/>
        </w:rPr>
      </w:pPr>
      <w:r w:rsidRPr="00FE438F">
        <w:rPr>
          <w:szCs w:val="24"/>
        </w:rPr>
        <w:t xml:space="preserve">Although Kavanaugh explained that he was concurring in the Court’s ruling because the “practice of displaying religious memorials, particularly religious war memorials, on public land is not coercive and is rooted in history and tradition,” he described the case as “difficult because it represents a clash of genuine and important interests.” </w:t>
      </w:r>
      <w:proofErr w:type="gramStart"/>
      <w:r w:rsidRPr="00FE438F">
        <w:rPr>
          <w:szCs w:val="24"/>
        </w:rPr>
        <w:t>In particular, he</w:t>
      </w:r>
      <w:proofErr w:type="gramEnd"/>
      <w:r w:rsidRPr="00FE438F">
        <w:rPr>
          <w:szCs w:val="24"/>
        </w:rPr>
        <w:t xml:space="preserve"> acknowledged that he understood “the deeply religious nature of the cross” and remarked that “[</w:t>
      </w:r>
      <w:proofErr w:type="spellStart"/>
      <w:r w:rsidRPr="00FE438F">
        <w:rPr>
          <w:szCs w:val="24"/>
        </w:rPr>
        <w:t>i</w:t>
      </w:r>
      <w:proofErr w:type="spellEnd"/>
      <w:r w:rsidRPr="00FE438F">
        <w:rPr>
          <w:szCs w:val="24"/>
        </w:rPr>
        <w:t xml:space="preserve">]t would demean both believers and nonbelievers to say that the cross is not religious, or not all that religious.” Kavanaugh likewise expressed “great respect for the Jewish war veterans who in an </w:t>
      </w:r>
      <w:r w:rsidRPr="00FE438F">
        <w:rPr>
          <w:i/>
          <w:szCs w:val="24"/>
        </w:rPr>
        <w:t>amicus</w:t>
      </w:r>
      <w:r w:rsidRPr="00FE438F">
        <w:rPr>
          <w:szCs w:val="24"/>
        </w:rPr>
        <w:t xml:space="preserve"> brief say that the cross on public land sends a message of exclusion.” </w:t>
      </w:r>
    </w:p>
    <w:p w14:paraId="6CB919A6" w14:textId="77777777" w:rsidR="002A2916" w:rsidRPr="00FE438F" w:rsidRDefault="002A2916" w:rsidP="002A2916">
      <w:pPr>
        <w:ind w:firstLine="720"/>
        <w:rPr>
          <w:szCs w:val="24"/>
        </w:rPr>
      </w:pPr>
      <w:r w:rsidRPr="00FE438F">
        <w:rPr>
          <w:szCs w:val="24"/>
        </w:rPr>
        <w:t xml:space="preserve">Kavanaugh also pointed out that states may provide stricter barriers between religion and the state than the Establishment Clause requires. “The Court’s ruling </w:t>
      </w:r>
      <w:r w:rsidRPr="00FE438F">
        <w:rPr>
          <w:i/>
          <w:szCs w:val="24"/>
        </w:rPr>
        <w:t>allows</w:t>
      </w:r>
      <w:r w:rsidRPr="00FE438F">
        <w:rPr>
          <w:szCs w:val="24"/>
        </w:rPr>
        <w:t xml:space="preserve"> the State to maintain the cross on public land,” he stated. “The Court’s ruling does not </w:t>
      </w:r>
      <w:r w:rsidRPr="00FE438F">
        <w:rPr>
          <w:i/>
          <w:szCs w:val="24"/>
        </w:rPr>
        <w:t>require</w:t>
      </w:r>
      <w:r w:rsidRPr="00FE438F">
        <w:rPr>
          <w:szCs w:val="24"/>
        </w:rPr>
        <w:t xml:space="preserve"> the State to maintain the cross on public land… This Court is not the </w:t>
      </w:r>
      <w:r w:rsidRPr="00FE438F">
        <w:rPr>
          <w:i/>
          <w:szCs w:val="24"/>
        </w:rPr>
        <w:t>only</w:t>
      </w:r>
      <w:r w:rsidRPr="00FE438F">
        <w:rPr>
          <w:szCs w:val="24"/>
        </w:rPr>
        <w:t xml:space="preserve"> guardian of individual rights in America.” (emphases in original). Kavanaugh observed that the federal Constitution’s floor for individual rights “is sturdy and often high, but it is a floor. Other federal, state, and local government </w:t>
      </w:r>
      <w:r w:rsidRPr="00FE438F">
        <w:rPr>
          <w:szCs w:val="24"/>
        </w:rPr>
        <w:lastRenderedPageBreak/>
        <w:t xml:space="preserve">entities generally possess authority to safeguard individual rights above and beyond the rights secured by the U.S. Constitution.” </w:t>
      </w:r>
    </w:p>
    <w:p w14:paraId="4045EC7F" w14:textId="77777777" w:rsidR="002A2916" w:rsidRPr="00FE438F" w:rsidRDefault="002A2916" w:rsidP="002A2916">
      <w:pPr>
        <w:ind w:firstLine="720"/>
        <w:rPr>
          <w:szCs w:val="24"/>
        </w:rPr>
      </w:pPr>
      <w:r w:rsidRPr="00FE438F">
        <w:rPr>
          <w:szCs w:val="24"/>
        </w:rPr>
        <w:t xml:space="preserve">Justice Thomas’s concurring opinion urged the Court to “take the logical next step and overrule the </w:t>
      </w:r>
      <w:r w:rsidRPr="00FE438F">
        <w:rPr>
          <w:i/>
          <w:szCs w:val="24"/>
        </w:rPr>
        <w:t xml:space="preserve">Lemon </w:t>
      </w:r>
      <w:r w:rsidRPr="00FE438F">
        <w:rPr>
          <w:szCs w:val="24"/>
        </w:rPr>
        <w:t xml:space="preserve">test in all contexts.” Thomas argued that the test lacked any basis in the original Constitution, that the Court had manipulated the test to achieve predetermined results, and that it had caused “enormous confusion in the States and the lower courts.” </w:t>
      </w:r>
    </w:p>
    <w:p w14:paraId="588F112D" w14:textId="77777777" w:rsidR="002A2916" w:rsidRPr="00FE438F" w:rsidRDefault="002A2916" w:rsidP="002A2916">
      <w:pPr>
        <w:ind w:firstLine="720"/>
        <w:rPr>
          <w:szCs w:val="24"/>
        </w:rPr>
      </w:pPr>
      <w:proofErr w:type="gramStart"/>
      <w:r w:rsidRPr="00FE438F">
        <w:rPr>
          <w:szCs w:val="24"/>
        </w:rPr>
        <w:t>With regard to</w:t>
      </w:r>
      <w:proofErr w:type="gramEnd"/>
      <w:r w:rsidRPr="00FE438F">
        <w:rPr>
          <w:szCs w:val="24"/>
        </w:rPr>
        <w:t xml:space="preserve"> the merits of the case, Thomas argued that the display of the cross did not share “any of the historical characteristics of an establishment of religion. The local commission has not attempted to control religious doctrine or personnel, compel religious observance, single out a </w:t>
      </w:r>
      <w:proofErr w:type="gramStart"/>
      <w:r w:rsidRPr="00FE438F">
        <w:rPr>
          <w:szCs w:val="24"/>
        </w:rPr>
        <w:t>particular religious</w:t>
      </w:r>
      <w:proofErr w:type="gramEnd"/>
      <w:r w:rsidRPr="00FE438F">
        <w:rPr>
          <w:szCs w:val="24"/>
        </w:rPr>
        <w:t xml:space="preserve"> denomination for exclusive state subsidization, or punish dissenting worship. Instead, the commission has done something that the founding generation, as well as the generation that ratified the Fourteenth Amendment, would have found commonplace: displaying a religious symbol on government property.” Thomas also reiterated his belief that the text and history of the Establishment Clause “suggest that it should not be incorporated against the States.” </w:t>
      </w:r>
    </w:p>
    <w:p w14:paraId="3266DFCE" w14:textId="77777777" w:rsidR="002A2916" w:rsidRPr="00FE438F" w:rsidRDefault="002A2916" w:rsidP="002A2916">
      <w:pPr>
        <w:ind w:firstLine="720"/>
        <w:rPr>
          <w:szCs w:val="24"/>
        </w:rPr>
      </w:pPr>
      <w:r w:rsidRPr="00FE438F">
        <w:rPr>
          <w:szCs w:val="24"/>
        </w:rPr>
        <w:t xml:space="preserve">In his concurring opinion, Justice Gorsuch contended that the Court ought to have dismissed the case for lack of standing by the American Humanist Association. He contended that the Association’s “offended observer” theory of standing had “no basis in law,” and conflicted with the doctrine that a plaintiff must demonstrate injury-in-fact, causation, and redressability, and that injury-in-fact requires “an invasion of a legally protected interest which is (a) concrete and particularized…and (b) actual or imminent, not conjectural or hypothetical,” quoting </w:t>
      </w:r>
      <w:r w:rsidRPr="00FE438F">
        <w:rPr>
          <w:i/>
          <w:szCs w:val="24"/>
        </w:rPr>
        <w:t>Lujan v. Defenders of Wildlife</w:t>
      </w:r>
      <w:r w:rsidRPr="00FE438F">
        <w:rPr>
          <w:szCs w:val="24"/>
        </w:rPr>
        <w:t xml:space="preserve"> (1992). Gorsuch warned that “[</w:t>
      </w:r>
      <w:proofErr w:type="spellStart"/>
      <w:r w:rsidRPr="00FE438F">
        <w:rPr>
          <w:szCs w:val="24"/>
        </w:rPr>
        <w:t>i</w:t>
      </w:r>
      <w:proofErr w:type="spellEnd"/>
      <w:r w:rsidRPr="00FE438F">
        <w:rPr>
          <w:szCs w:val="24"/>
        </w:rPr>
        <w:t xml:space="preserve">]f individuals and groups could invoke the authority of a federal court to forbid what they dislike for no more reason than they dislike it, we would risk exceeding the judiciary’s limited constitutional mandate and infringing on powers committed to other branches of government.” He argued that abandonment of the theory “will mean only a return to the usual demands of Article III, requiring a real controversy with real impact on real persons to make a federal case out of it.” Gorsuch contended that this also would generate “the welcome side effect of rescuing the federal judiciary from the sordid business of having to pass aesthetic judgment, one by one, on every public display in this country for its perceived capacity to give offense. It’s a business that has consumed volumes of the federal reports, invited erratic results, frustrated generations of judges, and fomented ‘the very kind of religiously based divisiveness that the Establishment Clause seeks to avoid,’” quoting </w:t>
      </w:r>
      <w:r w:rsidRPr="00FE438F">
        <w:rPr>
          <w:i/>
          <w:szCs w:val="24"/>
        </w:rPr>
        <w:t xml:space="preserve">Van Orden v. </w:t>
      </w:r>
      <w:r w:rsidRPr="00FE438F">
        <w:rPr>
          <w:szCs w:val="24"/>
        </w:rPr>
        <w:t xml:space="preserve">Perry (2005) (Breyer, J., concurring in the judgment). Gorsuch claimed that lower courts had invented “offended observer” standing in response to </w:t>
      </w:r>
      <w:r w:rsidRPr="00FE438F">
        <w:rPr>
          <w:i/>
          <w:szCs w:val="24"/>
        </w:rPr>
        <w:t>Lemon;</w:t>
      </w:r>
      <w:r w:rsidRPr="00FE438F">
        <w:rPr>
          <w:szCs w:val="24"/>
        </w:rPr>
        <w:t xml:space="preserve"> he denounced </w:t>
      </w:r>
      <w:r w:rsidRPr="00FE438F">
        <w:rPr>
          <w:i/>
          <w:szCs w:val="24"/>
        </w:rPr>
        <w:t>Lemon</w:t>
      </w:r>
      <w:r w:rsidRPr="00FE438F">
        <w:rPr>
          <w:szCs w:val="24"/>
        </w:rPr>
        <w:t xml:space="preserve"> as “a misadventure” that failed to provide a coherent theory of the Establishment Clause and “left us only a mess.” Gorsuch expressed his belief that “[w]</w:t>
      </w:r>
      <w:proofErr w:type="spellStart"/>
      <w:r w:rsidRPr="00FE438F">
        <w:rPr>
          <w:szCs w:val="24"/>
        </w:rPr>
        <w:t>ith</w:t>
      </w:r>
      <w:proofErr w:type="spellEnd"/>
      <w:r w:rsidRPr="00FE438F">
        <w:rPr>
          <w:szCs w:val="24"/>
        </w:rPr>
        <w:t xml:space="preserve"> </w:t>
      </w:r>
      <w:r w:rsidRPr="00FE438F">
        <w:rPr>
          <w:i/>
          <w:szCs w:val="24"/>
        </w:rPr>
        <w:t>Lemon</w:t>
      </w:r>
      <w:r w:rsidRPr="00FE438F">
        <w:rPr>
          <w:szCs w:val="24"/>
        </w:rPr>
        <w:t xml:space="preserve"> now shelved, little excuse will remain for the anomaly of offended observer standing, and the gaping hole it tore in standing doctrine in the courts of appeal should now begin to close.” </w:t>
      </w:r>
    </w:p>
    <w:p w14:paraId="5E75C55F" w14:textId="77777777" w:rsidR="002A2916" w:rsidRPr="00FE438F" w:rsidRDefault="002A2916" w:rsidP="002A2916">
      <w:pPr>
        <w:ind w:firstLine="720"/>
        <w:rPr>
          <w:szCs w:val="24"/>
        </w:rPr>
      </w:pPr>
      <w:r w:rsidRPr="00FE438F">
        <w:rPr>
          <w:szCs w:val="24"/>
        </w:rPr>
        <w:lastRenderedPageBreak/>
        <w:t xml:space="preserve">In a dissent joined by Justice Sotomayor, Justice Ginsburg did not invoke or discuss the </w:t>
      </w:r>
      <w:r w:rsidRPr="00FE438F">
        <w:rPr>
          <w:i/>
          <w:szCs w:val="24"/>
        </w:rPr>
        <w:t>Lemon</w:t>
      </w:r>
      <w:r w:rsidRPr="00FE438F">
        <w:rPr>
          <w:szCs w:val="24"/>
        </w:rPr>
        <w:t xml:space="preserve"> test. She contended that the state commission’s maintenance of a cross on public land “elevates Christianity over other faiths, and religion over nonreligion.” Ginsburg’s dissent emphasized the role of the cross as “the foremost symbol of the Christian faith” and the central Christian doctrine that the son of God was crucified, died, resurrected, and offers eternal life to believers. She contended that “using the cross as a war memorial does not transform it into a secular symbol.” Rather, the cross “affirms that, thanks to the soldier’s embrace of Christianity, he will be rewarded with eternal life.” Justice Ginsburg explained that the many monuments that were erected in memory of soldiers who died in the First World War during the decade after the conflict generally avoided the use of the cross out of respect to the many Jews who fought and died in the war. Ginsburg contended that the removal of the Maryland cross would not compel the removal of crosses from the graves of military veterans in public cemeteries, including Arlington Cemetery, because those crosses reflect the private speech of the veterans and “do not suggest government endorsement of those faith and beliefs.” </w:t>
      </w:r>
    </w:p>
    <w:p w14:paraId="269ED6DE" w14:textId="7DE53584" w:rsidR="002A2916" w:rsidRPr="000617D7" w:rsidRDefault="000617D7" w:rsidP="000617D7">
      <w:pPr>
        <w:jc w:val="center"/>
        <w:rPr>
          <w:szCs w:val="24"/>
        </w:rPr>
      </w:pPr>
      <w:r w:rsidRPr="000617D7">
        <w:rPr>
          <w:szCs w:val="24"/>
        </w:rPr>
        <w:t>* * *</w:t>
      </w:r>
    </w:p>
    <w:p w14:paraId="7AEA4A1A" w14:textId="0929D2D1" w:rsidR="00336355" w:rsidRPr="00336355" w:rsidRDefault="00336355" w:rsidP="002A2916">
      <w:pPr>
        <w:rPr>
          <w:rFonts w:cs="Times New Roman"/>
          <w:b/>
          <w:szCs w:val="24"/>
        </w:rPr>
      </w:pPr>
      <w:r w:rsidRPr="00336355">
        <w:rPr>
          <w:rFonts w:cs="Times New Roman"/>
          <w:b/>
          <w:szCs w:val="24"/>
        </w:rPr>
        <w:t>Section IV-A, The Development of the Required Accommodation Doctrine</w:t>
      </w:r>
    </w:p>
    <w:p w14:paraId="324A66D6" w14:textId="0269CC46" w:rsidR="002A2916" w:rsidRPr="00171684" w:rsidRDefault="002A2916" w:rsidP="002A2916">
      <w:pPr>
        <w:rPr>
          <w:rFonts w:cs="Times New Roman"/>
          <w:szCs w:val="24"/>
        </w:rPr>
      </w:pPr>
      <w:r w:rsidRPr="00B96CAA">
        <w:rPr>
          <w:rFonts w:cs="Times New Roman"/>
          <w:szCs w:val="24"/>
        </w:rPr>
        <w:t>[</w:t>
      </w:r>
      <w:r w:rsidRPr="00171684">
        <w:rPr>
          <w:rFonts w:cs="Times New Roman"/>
          <w:i/>
          <w:szCs w:val="24"/>
        </w:rPr>
        <w:t xml:space="preserve">Insert on page 1442 after note on </w:t>
      </w:r>
      <w:r w:rsidRPr="00171684">
        <w:rPr>
          <w:rFonts w:cs="Times New Roman"/>
          <w:szCs w:val="24"/>
        </w:rPr>
        <w:t>Hosanna-Tabor Evangelical Lutheran Church and School</w:t>
      </w:r>
      <w:r w:rsidRPr="00171684">
        <w:rPr>
          <w:rFonts w:cs="Times New Roman"/>
          <w:i/>
          <w:szCs w:val="24"/>
        </w:rPr>
        <w:t xml:space="preserve"> and before </w:t>
      </w:r>
      <w:r w:rsidRPr="00171684">
        <w:rPr>
          <w:rFonts w:cs="Times New Roman"/>
          <w:szCs w:val="24"/>
        </w:rPr>
        <w:t>Hobby Lobby</w:t>
      </w:r>
      <w:r w:rsidRPr="00B96CAA">
        <w:rPr>
          <w:rFonts w:cs="Times New Roman"/>
          <w:i/>
          <w:szCs w:val="24"/>
        </w:rPr>
        <w:t>.</w:t>
      </w:r>
      <w:r w:rsidR="00171684">
        <w:rPr>
          <w:rFonts w:cs="Times New Roman"/>
          <w:szCs w:val="24"/>
        </w:rPr>
        <w:t>]</w:t>
      </w:r>
    </w:p>
    <w:p w14:paraId="65884160" w14:textId="77777777" w:rsidR="00675288" w:rsidRPr="00B96CAA" w:rsidRDefault="00675288" w:rsidP="003A769E">
      <w:pPr>
        <w:pStyle w:val="Heading3"/>
        <w:jc w:val="center"/>
      </w:pPr>
      <w:bookmarkStart w:id="57" w:name="_Toc16886270"/>
      <w:r w:rsidRPr="00B96CAA">
        <w:t xml:space="preserve">Note: </w:t>
      </w:r>
      <w:r w:rsidRPr="003A769E">
        <w:rPr>
          <w:i/>
        </w:rPr>
        <w:t>Masterpiece Cakeshop v. Colorado Civil Rights Commission</w:t>
      </w:r>
      <w:r w:rsidRPr="00B96CAA">
        <w:t xml:space="preserve"> (2018)</w:t>
      </w:r>
      <w:bookmarkEnd w:id="57"/>
    </w:p>
    <w:p w14:paraId="4E37CFCA" w14:textId="77777777" w:rsidR="00675288" w:rsidRPr="00B96CAA" w:rsidRDefault="00675288" w:rsidP="00675288">
      <w:pPr>
        <w:rPr>
          <w:rFonts w:cs="Times New Roman"/>
          <w:szCs w:val="24"/>
        </w:rPr>
      </w:pPr>
      <w:r w:rsidRPr="00B96CAA">
        <w:rPr>
          <w:rFonts w:cs="Times New Roman"/>
          <w:b/>
          <w:szCs w:val="24"/>
        </w:rPr>
        <w:tab/>
      </w:r>
      <w:r w:rsidRPr="00B96CAA">
        <w:rPr>
          <w:rFonts w:cs="Times New Roman"/>
          <w:szCs w:val="24"/>
        </w:rPr>
        <w:t xml:space="preserve">The Court in this case held that the Colorado Civil Rights Commission violated the free exercise clause of the First Amendment by disparaging the religious views of a baker who had refused on religious grounds to bake a wedding cake for a same-sex marriage. The Court therefore reversed a decision of the Colorado Court of Appeals ruling that the baker had violated the Colorado Anti-Discrimination Act (CADA) and rejecting his claims under the First Amendment’s free exercise and free speech clauses. By basing its decision on the comments of members of the Commission, the Court bypassed the underlying issue of whether the free exercise and free speech clauses provided a defense to the baker’s failure to comply with the statute. Seven Justices concurred in the judgment, while Justices Ginsburg and Kagan in a dissenting opinion favored the affirmation of the decision of the Colorado Court of Appeals. </w:t>
      </w:r>
    </w:p>
    <w:p w14:paraId="4E2B59B7" w14:textId="77777777" w:rsidR="00675288" w:rsidRPr="00B96CAA" w:rsidRDefault="00675288" w:rsidP="00675288">
      <w:pPr>
        <w:rPr>
          <w:rFonts w:cs="Times New Roman"/>
          <w:szCs w:val="24"/>
        </w:rPr>
      </w:pPr>
      <w:r w:rsidRPr="00B96CAA">
        <w:rPr>
          <w:rFonts w:cs="Times New Roman"/>
          <w:szCs w:val="24"/>
        </w:rPr>
        <w:tab/>
        <w:t xml:space="preserve">The CADA prohibits discrimination based on sexual orientation in a “place of business engaged in any sales to the public and any place offering services…to the public.” After the baker refused to bake their wedding cake, a same-gender couple filed a complaint with the Colorado Civil Rights Commission alleging violation of the Act. Pursuant to the provisions of the statute, the Colorado Civil Rights Division investigated the claim in order to determine whether there was probable cause for finding that the Act had been violated. After finding probable cause, the Division referred the complaint to the Commission, which exercised its discretion in deciding to initiate a formal hearing before a state administrative law judge, who </w:t>
      </w:r>
      <w:r w:rsidRPr="00B96CAA">
        <w:rPr>
          <w:rFonts w:cs="Times New Roman"/>
          <w:szCs w:val="24"/>
        </w:rPr>
        <w:lastRenderedPageBreak/>
        <w:t xml:space="preserve">ruled that CADA is a “valid and neutral law of general applicability” within the meaning of </w:t>
      </w:r>
      <w:r w:rsidRPr="00B96CAA">
        <w:rPr>
          <w:rFonts w:cs="Times New Roman"/>
          <w:i/>
          <w:szCs w:val="24"/>
        </w:rPr>
        <w:t>Employment Div., Department of Human Resources of Oregon v. Smith</w:t>
      </w:r>
      <w:r w:rsidRPr="00B96CAA">
        <w:rPr>
          <w:rFonts w:cs="Times New Roman"/>
          <w:szCs w:val="24"/>
        </w:rPr>
        <w:t xml:space="preserve"> (1990) and that the free exercise clause therefore did not excuse the baker’s compliance with the statute. The administrative law judge also determined that preparation of a wedding cake is not a form of protected speech. The seven-member Commission affirmed this decision in full and ordered the baker to cease and desist from discrimination and to prepare quarterly reports for two years documenting the reasons for any refusal to deny service to customers. The Colorado Court of Appeals affirmed the Commission’s legal determinations and its order, concluding that the Commission’s order did not violate the baker’s free exercise rights.  </w:t>
      </w:r>
    </w:p>
    <w:p w14:paraId="701D9972" w14:textId="57A77F1D" w:rsidR="00675288" w:rsidRPr="00B96CAA" w:rsidRDefault="00675288" w:rsidP="00675288">
      <w:pPr>
        <w:rPr>
          <w:rFonts w:cs="Times New Roman"/>
          <w:szCs w:val="24"/>
        </w:rPr>
      </w:pPr>
      <w:r w:rsidRPr="00B96CAA">
        <w:rPr>
          <w:rFonts w:cs="Times New Roman"/>
          <w:szCs w:val="24"/>
        </w:rPr>
        <w:tab/>
        <w:t xml:space="preserve">In concluding that commissioners violated the baker’s rights, Justice Kennedy’s opinion for the Court, joined by </w:t>
      </w:r>
      <w:r w:rsidR="006A0326">
        <w:rPr>
          <w:rFonts w:cs="Times New Roman"/>
          <w:szCs w:val="24"/>
        </w:rPr>
        <w:t>(Roberts, C.J., and Breyer, Alito, Kagan, and Gorsuch, JJ.)</w:t>
      </w:r>
      <w:r w:rsidRPr="00B96CAA">
        <w:rPr>
          <w:rFonts w:cs="Times New Roman"/>
          <w:szCs w:val="24"/>
        </w:rPr>
        <w:t>, identified various comments made by commissioners without objection from other commissioners, including one commissioner’s remark that “it is one of the most despicable pieces of rhetoric that people can use to – to use their religion to hurt others.” The Court observed that “[t]o describe a man’s faith as ‘one of the most despicable pieces of rhetoric that people can use’ is to disparage his religion in at least two distinct ways: by describing it as despicable, and also by characterizing it as merely rhetorical – something insubstantial and even insincere.” The Court found that this commissioner also compared the baker’s “invocation of his sincerely held religious beliefs to defenses of slavery and the Holocaust.” The Court explained that endorsement of the commissioners of “the view that religious beliefs cannot legitimately be carried into the public sphere or commercial domain” implied “that religious beliefs and persons are less than fully welcome in Colorado’s business community” and might demonstrate “lack of due consideration” for the baker’s “free exercise rights and the dilemma he faced.” The Court concluded that “the record here demonstrates that the Commission’s consideration of [appellant’s] case was neither tolerant nor respectful of [appellant’s] religious beliefs.”</w:t>
      </w:r>
    </w:p>
    <w:p w14:paraId="3A948DB2" w14:textId="77777777" w:rsidR="00675288" w:rsidRPr="00B96CAA" w:rsidRDefault="00675288" w:rsidP="00675288">
      <w:pPr>
        <w:rPr>
          <w:rFonts w:cs="Times New Roman"/>
          <w:szCs w:val="24"/>
        </w:rPr>
      </w:pPr>
      <w:r w:rsidRPr="00B96CAA">
        <w:rPr>
          <w:rFonts w:cs="Times New Roman"/>
          <w:szCs w:val="24"/>
        </w:rPr>
        <w:tab/>
        <w:t xml:space="preserve">Even though Kennedy’s opinion did not reach the merits of the case, the Court, in an apparent reference to </w:t>
      </w:r>
      <w:r w:rsidRPr="00B96CAA">
        <w:rPr>
          <w:rFonts w:cs="Times New Roman"/>
          <w:i/>
          <w:szCs w:val="24"/>
        </w:rPr>
        <w:t>Smith</w:t>
      </w:r>
      <w:r w:rsidRPr="00B96CAA">
        <w:rPr>
          <w:rFonts w:cs="Times New Roman"/>
          <w:szCs w:val="24"/>
        </w:rPr>
        <w:t xml:space="preserve">, observed that “[t]he Court’s precedents make clear that the baker, in his capacity as the owner of a business serving the public, might have his right to the free exercise of religion limited by generally applicable laws.” The Court added that “[s]till, the delicate question of when the free exercise of his religion must yield to an otherwise valid exercise of state power needed to be determined in an adjudication in which religious hostility on the part of the State itself would not be a factor in the balance the State sought to reach.” </w:t>
      </w:r>
    </w:p>
    <w:p w14:paraId="700CB310" w14:textId="77777777" w:rsidR="00675288" w:rsidRPr="00B96CAA" w:rsidRDefault="00675288" w:rsidP="00675288">
      <w:pPr>
        <w:rPr>
          <w:rFonts w:cs="Times New Roman"/>
          <w:szCs w:val="24"/>
        </w:rPr>
      </w:pPr>
      <w:r w:rsidRPr="00B96CAA">
        <w:rPr>
          <w:rFonts w:cs="Times New Roman"/>
          <w:szCs w:val="24"/>
        </w:rPr>
        <w:tab/>
        <w:t xml:space="preserve">Justice Ginsburg, in a dissent joined by Justice Sotomayor, argued that wedding cakes are not speech or expression entitled to First Amendment protection because there was no evidence that an objective observer would believe that a wedding cake conveys a message, “much less that the observer understands the message to be the baker’s, rather than the marrying couple’s.” Her dissent for the most part did not address the baker’s free exercise claim although she suggested that it lacked merit. </w:t>
      </w:r>
    </w:p>
    <w:p w14:paraId="323E5F01" w14:textId="77777777" w:rsidR="00675288" w:rsidRPr="00B96CAA" w:rsidRDefault="00675288" w:rsidP="00675288">
      <w:pPr>
        <w:rPr>
          <w:rFonts w:cs="Times New Roman"/>
          <w:szCs w:val="24"/>
        </w:rPr>
      </w:pPr>
      <w:r w:rsidRPr="00B96CAA">
        <w:rPr>
          <w:rFonts w:cs="Times New Roman"/>
          <w:szCs w:val="24"/>
        </w:rPr>
        <w:lastRenderedPageBreak/>
        <w:tab/>
        <w:t xml:space="preserve">Ginsburg also denied that “the comments of one or two Commissioners” constituted the kind of anti-religious bias that “should be taken to overcome” the baker’s “refusal to sell a wedding cake” to the same-gender couple. She explained that “[t]he proceedings involved several layers of independent </w:t>
      </w:r>
      <w:proofErr w:type="spellStart"/>
      <w:r w:rsidRPr="00B96CAA">
        <w:rPr>
          <w:rFonts w:cs="Times New Roman"/>
          <w:szCs w:val="24"/>
        </w:rPr>
        <w:t>decisionmaking</w:t>
      </w:r>
      <w:proofErr w:type="spellEnd"/>
      <w:r w:rsidRPr="00B96CAA">
        <w:rPr>
          <w:rFonts w:cs="Times New Roman"/>
          <w:szCs w:val="24"/>
        </w:rPr>
        <w:t xml:space="preserve">, of which the Commission was but one.” She pointed out that the Court failed to identify any prejudice infecting “the determinations of the adjudicators in the case before and after the Commission.” </w:t>
      </w:r>
    </w:p>
    <w:p w14:paraId="175387B8" w14:textId="3656E4C1" w:rsidR="009D1FE1" w:rsidRDefault="00675288" w:rsidP="000703D5">
      <w:pPr>
        <w:rPr>
          <w:rFonts w:cs="Times New Roman"/>
          <w:szCs w:val="24"/>
        </w:rPr>
      </w:pPr>
      <w:r w:rsidRPr="00B96CAA">
        <w:rPr>
          <w:rFonts w:cs="Times New Roman"/>
          <w:szCs w:val="24"/>
        </w:rPr>
        <w:tab/>
        <w:t>In a concurring opinion, Justice Thomas contended that the cake was expressive conduct and that the state’s suppression of his conduct could not withstand strict scrutiny under the free speech clause of the First Amendment. He stated that “[s]</w:t>
      </w:r>
      <w:proofErr w:type="spellStart"/>
      <w:r w:rsidRPr="00B96CAA">
        <w:rPr>
          <w:rFonts w:cs="Times New Roman"/>
          <w:szCs w:val="24"/>
        </w:rPr>
        <w:t>tates</w:t>
      </w:r>
      <w:proofErr w:type="spellEnd"/>
      <w:r w:rsidRPr="00B96CAA">
        <w:rPr>
          <w:rFonts w:cs="Times New Roman"/>
          <w:szCs w:val="24"/>
        </w:rPr>
        <w:t xml:space="preserve"> cannot punish protected speech because some group finds it offensive, hurtful, stigmatic, unreasonable, or undignified.” Thomas explained that he failed to see how the baker’s refusal to bake the cake “stigmatizes gays and lesbians more than blocking them from marching in a city parade, dismissing them from the Boy Scouts, or subjecting them to signs that say “God Hates Fags,” all of which this Court has deemed protected by the First Amendment,” </w:t>
      </w:r>
      <w:r w:rsidRPr="00B96CAA">
        <w:rPr>
          <w:rFonts w:cs="Times New Roman"/>
          <w:i/>
          <w:szCs w:val="24"/>
        </w:rPr>
        <w:t xml:space="preserve">citing Hurley v. Irish-American Gay, Lesbian and Bisexual Group of Boston, Inc. </w:t>
      </w:r>
      <w:r w:rsidRPr="00B96CAA">
        <w:rPr>
          <w:rFonts w:cs="Times New Roman"/>
          <w:szCs w:val="24"/>
        </w:rPr>
        <w:t xml:space="preserve">(1995); </w:t>
      </w:r>
      <w:r w:rsidRPr="00B96CAA">
        <w:rPr>
          <w:rFonts w:cs="Times New Roman"/>
          <w:i/>
          <w:szCs w:val="24"/>
        </w:rPr>
        <w:t>Boy Scouts of America v. Dale</w:t>
      </w:r>
      <w:r w:rsidRPr="00B96CAA">
        <w:rPr>
          <w:rFonts w:cs="Times New Roman"/>
          <w:szCs w:val="24"/>
        </w:rPr>
        <w:t xml:space="preserve"> (2000); and </w:t>
      </w:r>
      <w:r w:rsidRPr="00B96CAA">
        <w:rPr>
          <w:rFonts w:cs="Times New Roman"/>
          <w:i/>
          <w:szCs w:val="24"/>
        </w:rPr>
        <w:t>Snyder v. Phelps</w:t>
      </w:r>
      <w:r w:rsidRPr="00B96CAA">
        <w:rPr>
          <w:rFonts w:cs="Times New Roman"/>
          <w:szCs w:val="24"/>
        </w:rPr>
        <w:t xml:space="preserve"> (2011). Thomas also said he could not understand how the baker’s “statement is worse than the racist, demeaning, and even threatening speech toward blacks that this Court has tolerated in previous decisions,” citing</w:t>
      </w:r>
      <w:r w:rsidRPr="00B96CAA">
        <w:rPr>
          <w:rFonts w:cs="Times New Roman"/>
          <w:i/>
          <w:szCs w:val="24"/>
        </w:rPr>
        <w:t xml:space="preserve">, inter alia, Brandenburg v. Ohio </w:t>
      </w:r>
      <w:r w:rsidRPr="00B96CAA">
        <w:rPr>
          <w:rFonts w:cs="Times New Roman"/>
          <w:szCs w:val="24"/>
        </w:rPr>
        <w:t xml:space="preserve">(1969).  </w:t>
      </w:r>
    </w:p>
    <w:p w14:paraId="3E9283C6" w14:textId="77777777" w:rsidR="009D1FE1" w:rsidRDefault="009D1FE1">
      <w:pPr>
        <w:rPr>
          <w:rFonts w:cs="Times New Roman"/>
          <w:szCs w:val="24"/>
        </w:rPr>
      </w:pPr>
      <w:r>
        <w:rPr>
          <w:rFonts w:cs="Times New Roman"/>
          <w:szCs w:val="24"/>
        </w:rPr>
        <w:br w:type="page"/>
      </w:r>
    </w:p>
    <w:p w14:paraId="4F4F7561" w14:textId="15D61D99" w:rsidR="009D1FE1" w:rsidRDefault="009D1FE1">
      <w:pPr>
        <w:rPr>
          <w:rFonts w:cs="Times New Roman"/>
          <w:szCs w:val="24"/>
        </w:rPr>
      </w:pPr>
      <w:r>
        <w:rPr>
          <w:rFonts w:cs="Times New Roman"/>
          <w:szCs w:val="24"/>
        </w:rPr>
        <w:lastRenderedPageBreak/>
        <w:br w:type="page"/>
      </w:r>
    </w:p>
    <w:p w14:paraId="1B302159" w14:textId="77777777" w:rsidR="009D1FE1" w:rsidRPr="001A211C" w:rsidRDefault="009D1FE1" w:rsidP="00B42F0F">
      <w:pPr>
        <w:pStyle w:val="Heading1"/>
      </w:pPr>
      <w:bookmarkStart w:id="58" w:name="_Toc16886271"/>
      <w:bookmarkStart w:id="59" w:name="_Toc485731014"/>
      <w:r w:rsidRPr="001A211C">
        <w:lastRenderedPageBreak/>
        <w:t xml:space="preserve">Chapter 13. Governmental Actors, Private Actors, and the Scope of the 13th and 14th Amendments. Section IV-B, State Action after </w:t>
      </w:r>
      <w:r w:rsidRPr="001A211C">
        <w:rPr>
          <w:i/>
        </w:rPr>
        <w:t>Moose Lodge</w:t>
      </w:r>
      <w:r w:rsidRPr="001A211C">
        <w:t>.</w:t>
      </w:r>
      <w:bookmarkEnd w:id="58"/>
    </w:p>
    <w:p w14:paraId="55BE4F96" w14:textId="2FCE44D1" w:rsidR="009D1FE1" w:rsidRPr="001A211C" w:rsidRDefault="009D1FE1" w:rsidP="00B42F0F">
      <w:pPr>
        <w:autoSpaceDE w:val="0"/>
        <w:autoSpaceDN w:val="0"/>
        <w:adjustRightInd w:val="0"/>
        <w:rPr>
          <w:rFonts w:cs="Times New Roman"/>
          <w:szCs w:val="24"/>
        </w:rPr>
      </w:pPr>
      <w:r w:rsidRPr="001A211C">
        <w:rPr>
          <w:rFonts w:cs="Times New Roman"/>
          <w:szCs w:val="24"/>
        </w:rPr>
        <w:t>[</w:t>
      </w:r>
      <w:r w:rsidRPr="00171684">
        <w:rPr>
          <w:rFonts w:cs="Times New Roman"/>
          <w:i/>
          <w:szCs w:val="24"/>
        </w:rPr>
        <w:t>Inse</w:t>
      </w:r>
      <w:r w:rsidR="00171684">
        <w:rPr>
          <w:rFonts w:cs="Times New Roman"/>
          <w:i/>
          <w:szCs w:val="24"/>
        </w:rPr>
        <w:t>r</w:t>
      </w:r>
      <w:r w:rsidRPr="00171684">
        <w:rPr>
          <w:rFonts w:cs="Times New Roman"/>
          <w:i/>
          <w:szCs w:val="24"/>
        </w:rPr>
        <w:t>t on page 1490, replacing current section IV-B</w:t>
      </w:r>
      <w:r w:rsidRPr="001A211C">
        <w:rPr>
          <w:rFonts w:cs="Times New Roman"/>
          <w:szCs w:val="24"/>
        </w:rPr>
        <w:t>.]</w:t>
      </w:r>
    </w:p>
    <w:p w14:paraId="0100235C" w14:textId="77777777" w:rsidR="009D1FE1" w:rsidRPr="001A211C" w:rsidRDefault="009D1FE1" w:rsidP="006C08C8">
      <w:pPr>
        <w:pStyle w:val="Heading2"/>
        <w:jc w:val="center"/>
        <w:rPr>
          <w:rFonts w:cs="Times New Roman"/>
          <w:szCs w:val="24"/>
        </w:rPr>
      </w:pPr>
      <w:bookmarkStart w:id="60" w:name="_Toc16886272"/>
      <w:r w:rsidRPr="001A211C">
        <w:rPr>
          <w:rFonts w:cs="Times New Roman"/>
          <w:szCs w:val="24"/>
        </w:rPr>
        <w:t xml:space="preserve">B. State Action after </w:t>
      </w:r>
      <w:r w:rsidRPr="001A211C">
        <w:rPr>
          <w:rFonts w:cs="Times New Roman"/>
          <w:i/>
          <w:szCs w:val="24"/>
        </w:rPr>
        <w:t>Moose Lodge</w:t>
      </w:r>
      <w:bookmarkEnd w:id="59"/>
      <w:bookmarkEnd w:id="60"/>
    </w:p>
    <w:p w14:paraId="7D59292E" w14:textId="77777777" w:rsidR="009D1FE1" w:rsidRPr="001A211C" w:rsidRDefault="009D1FE1" w:rsidP="009D1FE1">
      <w:pPr>
        <w:widowControl w:val="0"/>
        <w:jc w:val="both"/>
        <w:rPr>
          <w:rFonts w:cs="Times New Roman"/>
          <w:szCs w:val="24"/>
        </w:rPr>
      </w:pPr>
      <w:r w:rsidRPr="001A211C">
        <w:rPr>
          <w:rFonts w:cs="Times New Roman"/>
          <w:b/>
          <w:szCs w:val="24"/>
        </w:rPr>
        <w:tab/>
      </w:r>
      <w:r w:rsidRPr="001A211C">
        <w:rPr>
          <w:rFonts w:cs="Times New Roman"/>
          <w:szCs w:val="24"/>
        </w:rPr>
        <w:t xml:space="preserve">The Warren Court had often found state action in cases challenging segregation after </w:t>
      </w:r>
      <w:r w:rsidRPr="001A211C">
        <w:rPr>
          <w:rFonts w:cs="Times New Roman"/>
          <w:i/>
          <w:szCs w:val="24"/>
        </w:rPr>
        <w:t xml:space="preserve">Brown v. Board of Education </w:t>
      </w:r>
      <w:r w:rsidRPr="001A211C">
        <w:rPr>
          <w:rFonts w:cs="Times New Roman"/>
          <w:szCs w:val="24"/>
        </w:rPr>
        <w:t xml:space="preserve">(1954). </w:t>
      </w:r>
      <w:r w:rsidRPr="001A211C">
        <w:rPr>
          <w:rFonts w:cs="Times New Roman"/>
          <w:i/>
          <w:szCs w:val="24"/>
        </w:rPr>
        <w:t>Moose Lodge</w:t>
      </w:r>
      <w:r w:rsidRPr="001A211C">
        <w:rPr>
          <w:rFonts w:cs="Times New Roman"/>
          <w:szCs w:val="24"/>
        </w:rPr>
        <w:t xml:space="preserve"> (1972) represented a case involving racial discrimination after </w:t>
      </w:r>
      <w:r w:rsidRPr="001A211C">
        <w:rPr>
          <w:rFonts w:cs="Times New Roman"/>
          <w:i/>
          <w:szCs w:val="24"/>
        </w:rPr>
        <w:t>Brown</w:t>
      </w:r>
      <w:r w:rsidRPr="001A211C">
        <w:rPr>
          <w:rFonts w:cs="Times New Roman"/>
          <w:szCs w:val="24"/>
        </w:rPr>
        <w:t xml:space="preserve"> where the Court failed to find state action and sent a signal that the Burger Court was much less likely to find state action. However, the significance of </w:t>
      </w:r>
      <w:r w:rsidRPr="001A211C">
        <w:rPr>
          <w:rFonts w:cs="Times New Roman"/>
          <w:i/>
          <w:szCs w:val="24"/>
        </w:rPr>
        <w:t>Moose Lodge</w:t>
      </w:r>
      <w:r w:rsidRPr="001A211C">
        <w:rPr>
          <w:rFonts w:cs="Times New Roman"/>
          <w:szCs w:val="24"/>
        </w:rPr>
        <w:t xml:space="preserve"> in the realm of race relations is much reduced because of the decision in </w:t>
      </w:r>
      <w:r w:rsidRPr="001A211C">
        <w:rPr>
          <w:rFonts w:cs="Times New Roman"/>
          <w:i/>
          <w:szCs w:val="24"/>
        </w:rPr>
        <w:t>Jones v. Alfred Mayer</w:t>
      </w:r>
      <w:r w:rsidRPr="001A211C">
        <w:rPr>
          <w:rFonts w:cs="Times New Roman"/>
          <w:szCs w:val="24"/>
        </w:rPr>
        <w:t xml:space="preserve"> (1968)</w:t>
      </w:r>
      <w:r w:rsidRPr="001A211C">
        <w:rPr>
          <w:rFonts w:cs="Times New Roman"/>
          <w:i/>
          <w:szCs w:val="24"/>
        </w:rPr>
        <w:t>.</w:t>
      </w:r>
    </w:p>
    <w:p w14:paraId="608DC2B8" w14:textId="77777777" w:rsidR="009D1FE1" w:rsidRPr="001A211C" w:rsidRDefault="009D1FE1" w:rsidP="009D1FE1">
      <w:pPr>
        <w:widowControl w:val="0"/>
        <w:jc w:val="both"/>
        <w:rPr>
          <w:rFonts w:cs="Times New Roman"/>
          <w:szCs w:val="24"/>
        </w:rPr>
      </w:pPr>
      <w:r w:rsidRPr="001A211C">
        <w:rPr>
          <w:rFonts w:cs="Times New Roman"/>
          <w:szCs w:val="24"/>
        </w:rPr>
        <w:tab/>
      </w:r>
      <w:r w:rsidRPr="001A211C">
        <w:rPr>
          <w:rFonts w:cs="Times New Roman"/>
          <w:i/>
          <w:szCs w:val="24"/>
        </w:rPr>
        <w:t xml:space="preserve">Moose Lodge </w:t>
      </w:r>
      <w:r w:rsidRPr="001A211C">
        <w:rPr>
          <w:rFonts w:cs="Times New Roman"/>
          <w:szCs w:val="24"/>
        </w:rPr>
        <w:t>was part of a series of state action cases decided from 1972 to 1982 in which the Burger Court systematically narrowed the scope of state action doctrine. These cases often involved attempts by plaintiffs to allege state action under both public function and entanglement theories. The Court systematically narrowed the scope of each theory.</w:t>
      </w:r>
    </w:p>
    <w:p w14:paraId="3973FFB6" w14:textId="77777777" w:rsidR="009D1FE1" w:rsidRPr="001A211C" w:rsidRDefault="009D1FE1" w:rsidP="009D1FE1">
      <w:pPr>
        <w:widowControl w:val="0"/>
        <w:jc w:val="both"/>
        <w:rPr>
          <w:rFonts w:cs="Times New Roman"/>
          <w:szCs w:val="24"/>
        </w:rPr>
      </w:pPr>
      <w:r w:rsidRPr="001A211C">
        <w:rPr>
          <w:rFonts w:cs="Times New Roman"/>
          <w:szCs w:val="24"/>
        </w:rPr>
        <w:tab/>
        <w:t xml:space="preserve">In </w:t>
      </w:r>
      <w:r w:rsidRPr="001A211C">
        <w:rPr>
          <w:rFonts w:cs="Times New Roman"/>
          <w:i/>
          <w:szCs w:val="24"/>
        </w:rPr>
        <w:t>Jackson v. Metropolitan Edison Company</w:t>
      </w:r>
      <w:r w:rsidRPr="001A211C">
        <w:rPr>
          <w:rFonts w:cs="Times New Roman"/>
          <w:szCs w:val="24"/>
        </w:rPr>
        <w:t xml:space="preserve"> (1974), the Court rejected a customer's due process challenge to the peremptory termination of her electric power. The plaintiff had argued that the Company was a state actor because the state had given it monopoly status and regulated it, and that the provision of power was a public function. In rejecting this argument, the Court held:</w:t>
      </w:r>
    </w:p>
    <w:p w14:paraId="3225AE0D" w14:textId="77777777" w:rsidR="009D1FE1" w:rsidRPr="001A211C" w:rsidRDefault="009D1FE1" w:rsidP="009D1FE1">
      <w:pPr>
        <w:widowControl w:val="0"/>
        <w:ind w:left="720" w:firstLine="720"/>
        <w:jc w:val="both"/>
        <w:rPr>
          <w:rFonts w:cs="Times New Roman"/>
          <w:szCs w:val="24"/>
        </w:rPr>
      </w:pPr>
      <w:r w:rsidRPr="001A211C">
        <w:rPr>
          <w:rFonts w:cs="Times New Roman"/>
          <w:szCs w:val="24"/>
        </w:rPr>
        <w:t xml:space="preserve">Petitioner next urges that state action is present because respondent provides an essential public service required to be supplied on a reasonably continuous basis by Pa. Stat. Ann., Tit. 66, § 1171 (1959), and hence performs a "public function." We have, of course, found state action present in the exercise by a private entity of powers traditionally exclusively reserved to the State. See, e.g., </w:t>
      </w:r>
      <w:r w:rsidRPr="001A211C">
        <w:rPr>
          <w:rFonts w:cs="Times New Roman"/>
          <w:i/>
          <w:szCs w:val="24"/>
        </w:rPr>
        <w:t>Nixon v. Condon</w:t>
      </w:r>
      <w:r w:rsidRPr="001A211C">
        <w:rPr>
          <w:rFonts w:cs="Times New Roman"/>
          <w:szCs w:val="24"/>
        </w:rPr>
        <w:t xml:space="preserve"> (1932) (election); </w:t>
      </w:r>
      <w:r w:rsidRPr="001A211C">
        <w:rPr>
          <w:rFonts w:cs="Times New Roman"/>
          <w:i/>
          <w:szCs w:val="24"/>
        </w:rPr>
        <w:t xml:space="preserve">Terry v. Adams </w:t>
      </w:r>
      <w:r w:rsidRPr="001A211C">
        <w:rPr>
          <w:rFonts w:cs="Times New Roman"/>
          <w:szCs w:val="24"/>
        </w:rPr>
        <w:t xml:space="preserve">(1953) (election); </w:t>
      </w:r>
      <w:r w:rsidRPr="001A211C">
        <w:rPr>
          <w:rFonts w:cs="Times New Roman"/>
          <w:i/>
          <w:szCs w:val="24"/>
        </w:rPr>
        <w:t>Marsh v. Alabama</w:t>
      </w:r>
      <w:r w:rsidRPr="001A211C">
        <w:rPr>
          <w:rFonts w:cs="Times New Roman"/>
          <w:szCs w:val="24"/>
        </w:rPr>
        <w:t xml:space="preserve"> (1946) (company town); </w:t>
      </w:r>
      <w:r w:rsidRPr="001A211C">
        <w:rPr>
          <w:rFonts w:cs="Times New Roman"/>
          <w:i/>
          <w:szCs w:val="24"/>
        </w:rPr>
        <w:t>Evans v. Newton</w:t>
      </w:r>
      <w:r w:rsidRPr="001A211C">
        <w:rPr>
          <w:rFonts w:cs="Times New Roman"/>
          <w:szCs w:val="24"/>
        </w:rPr>
        <w:t xml:space="preserve"> (1966) (municipal park). If we were dealing with the exercise by Metropolitan of some power delegated to it by the State which is traditionally associated with sovereignty, such as eminent domain, our case would be quite a different one. But while the Pennsylvania statute imposes an obligation to furnish service on regulated utilities, it imposes no such obligation on the State. The Pennsylvania courts have rejected the contention that the furnishing of utility services is either a state function or a municipal duty.</w:t>
      </w:r>
    </w:p>
    <w:p w14:paraId="6A9306C1" w14:textId="77777777" w:rsidR="009D1FE1" w:rsidRPr="001A211C" w:rsidRDefault="009D1FE1" w:rsidP="009D1FE1">
      <w:pPr>
        <w:widowControl w:val="0"/>
        <w:ind w:left="720" w:firstLine="720"/>
        <w:jc w:val="both"/>
        <w:rPr>
          <w:rFonts w:cs="Times New Roman"/>
          <w:szCs w:val="24"/>
        </w:rPr>
      </w:pPr>
      <w:r w:rsidRPr="001A211C">
        <w:rPr>
          <w:rFonts w:cs="Times New Roman"/>
          <w:szCs w:val="24"/>
        </w:rPr>
        <w:t>Perhaps in recognition of the fact that the supplying of utility service is not traditionally the exclusive prerogative of the State, petitioner invites the expansion of the doctrine of this limited line of cases into a broad principle that all businesses "affected with the public interest" are state actors in all their actions.</w:t>
      </w:r>
    </w:p>
    <w:p w14:paraId="257718BE" w14:textId="77777777" w:rsidR="009D1FE1" w:rsidRPr="001A211C" w:rsidRDefault="009D1FE1" w:rsidP="009D1FE1">
      <w:pPr>
        <w:widowControl w:val="0"/>
        <w:ind w:left="720" w:firstLine="720"/>
        <w:jc w:val="both"/>
        <w:rPr>
          <w:rFonts w:cs="Times New Roman"/>
          <w:szCs w:val="24"/>
        </w:rPr>
      </w:pPr>
      <w:r w:rsidRPr="001A211C">
        <w:rPr>
          <w:rFonts w:cs="Times New Roman"/>
          <w:szCs w:val="24"/>
        </w:rPr>
        <w:t>We decline the invitation. …</w:t>
      </w:r>
    </w:p>
    <w:p w14:paraId="64FD09D0" w14:textId="77777777" w:rsidR="009D1FE1" w:rsidRPr="001A211C" w:rsidRDefault="009D1FE1" w:rsidP="009D1FE1">
      <w:pPr>
        <w:widowControl w:val="0"/>
        <w:jc w:val="both"/>
        <w:rPr>
          <w:rFonts w:cs="Times New Roman"/>
          <w:szCs w:val="24"/>
        </w:rPr>
      </w:pPr>
      <w:r w:rsidRPr="001A211C">
        <w:rPr>
          <w:rFonts w:cs="Times New Roman"/>
          <w:szCs w:val="24"/>
        </w:rPr>
        <w:tab/>
        <w:t xml:space="preserve">Besides rejecting the plaintiff's public function theory, the Court held that there </w:t>
      </w:r>
      <w:proofErr w:type="gramStart"/>
      <w:r w:rsidRPr="001A211C">
        <w:rPr>
          <w:rFonts w:cs="Times New Roman"/>
          <w:szCs w:val="24"/>
        </w:rPr>
        <w:t xml:space="preserve">was  </w:t>
      </w:r>
      <w:r w:rsidRPr="001A211C">
        <w:rPr>
          <w:rFonts w:cs="Times New Roman"/>
          <w:szCs w:val="24"/>
        </w:rPr>
        <w:lastRenderedPageBreak/>
        <w:t>insufficient</w:t>
      </w:r>
      <w:proofErr w:type="gramEnd"/>
      <w:r w:rsidRPr="001A211C">
        <w:rPr>
          <w:rFonts w:cs="Times New Roman"/>
          <w:szCs w:val="24"/>
        </w:rPr>
        <w:t xml:space="preserve"> entanglement to make the conduct of the utility equivalent to the conduct of the state. Extending the reasoning of </w:t>
      </w:r>
      <w:r w:rsidRPr="001A211C">
        <w:rPr>
          <w:rFonts w:cs="Times New Roman"/>
          <w:i/>
          <w:szCs w:val="24"/>
        </w:rPr>
        <w:t>Moose Lodge</w:t>
      </w:r>
      <w:r w:rsidRPr="001A211C">
        <w:rPr>
          <w:rFonts w:cs="Times New Roman"/>
          <w:szCs w:val="24"/>
        </w:rPr>
        <w:t>, the Court held that there must be a nexus between the complained of action and the state:</w:t>
      </w:r>
    </w:p>
    <w:p w14:paraId="5A6E53C4" w14:textId="77777777" w:rsidR="009D1FE1" w:rsidRPr="001A211C" w:rsidRDefault="009D1FE1" w:rsidP="009D1FE1">
      <w:pPr>
        <w:widowControl w:val="0"/>
        <w:ind w:left="720" w:firstLine="720"/>
        <w:jc w:val="both"/>
        <w:rPr>
          <w:rFonts w:cs="Times New Roman"/>
          <w:szCs w:val="24"/>
        </w:rPr>
      </w:pPr>
      <w:r w:rsidRPr="001A211C">
        <w:rPr>
          <w:rFonts w:cs="Times New Roman"/>
          <w:szCs w:val="24"/>
        </w:rPr>
        <w:t xml:space="preserve">Here the action complained of was taken by a utility company which is privately owned and operated, but which in many </w:t>
      </w:r>
      <w:proofErr w:type="gramStart"/>
      <w:r w:rsidRPr="001A211C">
        <w:rPr>
          <w:rFonts w:cs="Times New Roman"/>
          <w:szCs w:val="24"/>
        </w:rPr>
        <w:t>particulars of</w:t>
      </w:r>
      <w:proofErr w:type="gramEnd"/>
      <w:r w:rsidRPr="001A211C">
        <w:rPr>
          <w:rFonts w:cs="Times New Roman"/>
          <w:szCs w:val="24"/>
        </w:rPr>
        <w:t xml:space="preserve"> its business is subject to extensive state regulation. The mere fact that a business is subject to state regulation does not by itself convert its action into that of the State for purposes of the 14th Amendment. Nor does the fact that the regulation is extensive and detailed, as in the case of most public utilities, do so. </w:t>
      </w:r>
      <w:r w:rsidRPr="001A211C">
        <w:rPr>
          <w:rFonts w:cs="Times New Roman"/>
          <w:i/>
          <w:szCs w:val="24"/>
        </w:rPr>
        <w:t>Public Utilities Comm'n v. Pollak</w:t>
      </w:r>
      <w:r w:rsidRPr="001A211C">
        <w:rPr>
          <w:rFonts w:cs="Times New Roman"/>
          <w:szCs w:val="24"/>
        </w:rPr>
        <w:t xml:space="preserve"> (1952). It may well be that acts of a heavily regulated utility with at least something of a governmentally protected monopoly will more readily be found to be "state" acts than will the acts of an entity lacking these characteristics. But the inquiry must be whether there is a sufficiently close nexus between the State and the challenged action of the regulated entity so that the action of the latter may be fairly treated as that of the State itself. </w:t>
      </w:r>
      <w:r w:rsidRPr="001A211C">
        <w:rPr>
          <w:rFonts w:cs="Times New Roman"/>
          <w:i/>
          <w:szCs w:val="24"/>
        </w:rPr>
        <w:t>Moose Lodge No. 107</w:t>
      </w:r>
      <w:r w:rsidRPr="001A211C">
        <w:rPr>
          <w:rFonts w:cs="Times New Roman"/>
          <w:szCs w:val="24"/>
        </w:rPr>
        <w:t>. …</w:t>
      </w:r>
    </w:p>
    <w:p w14:paraId="559072EC" w14:textId="77777777" w:rsidR="009D1FE1" w:rsidRPr="001A211C" w:rsidRDefault="009D1FE1" w:rsidP="009D1FE1">
      <w:pPr>
        <w:widowControl w:val="0"/>
        <w:ind w:left="720" w:firstLine="720"/>
        <w:jc w:val="both"/>
        <w:rPr>
          <w:rFonts w:cs="Times New Roman"/>
          <w:szCs w:val="24"/>
        </w:rPr>
      </w:pPr>
      <w:r w:rsidRPr="001A211C">
        <w:rPr>
          <w:rFonts w:cs="Times New Roman"/>
          <w:szCs w:val="24"/>
        </w:rPr>
        <w:t>We also reject the notion that Metropolitan's termination is state action because the State "has specifically authorized and approved" the termination practice. In the instant case, Metropolitan filed with the Public Utility Commission a general tariff [a detailed description of the way that Metropolitan would conduct its business] — a provision of which states Metropolitan's right to terminate service for nonpayment. This provision has appeared in Metropolitan's previously filed tariffs for many years and has never been the subject of a hearing or other scrutiny by the Commission. Although the Commission did hold hearings on portions of Metropolitan's general tariff relating to a general rate increase, it never even considered the reinsertion of this provision in the newly filed general tariff. …</w:t>
      </w:r>
    </w:p>
    <w:p w14:paraId="2195B714" w14:textId="77777777" w:rsidR="009D1FE1" w:rsidRPr="001A211C" w:rsidRDefault="009D1FE1" w:rsidP="009D1FE1">
      <w:pPr>
        <w:widowControl w:val="0"/>
        <w:ind w:left="720" w:firstLine="720"/>
        <w:jc w:val="both"/>
        <w:rPr>
          <w:rFonts w:cs="Times New Roman"/>
          <w:szCs w:val="24"/>
        </w:rPr>
      </w:pPr>
      <w:r w:rsidRPr="001A211C">
        <w:rPr>
          <w:rFonts w:cs="Times New Roman"/>
          <w:szCs w:val="24"/>
        </w:rPr>
        <w:t xml:space="preserve">All of petitioner's arguments taken together show no more than that Metropolitan was a heavily regulated, privately owned utility, enjoying at least a partial monopoly in the providing of electrical service within its territory, and that it elected to terminate service to petitioner in a manner which the Pennsylvania Public Utility Commission found permissible under state law. Under our decision this is not sufficient to connect the State of Pennsylvania with respondent's action </w:t>
      </w:r>
      <w:proofErr w:type="gramStart"/>
      <w:r w:rsidRPr="001A211C">
        <w:rPr>
          <w:rFonts w:cs="Times New Roman"/>
          <w:szCs w:val="24"/>
        </w:rPr>
        <w:t>so as to</w:t>
      </w:r>
      <w:proofErr w:type="gramEnd"/>
      <w:r w:rsidRPr="001A211C">
        <w:rPr>
          <w:rFonts w:cs="Times New Roman"/>
          <w:szCs w:val="24"/>
        </w:rPr>
        <w:t xml:space="preserve"> make the latter's conduct attributable to the State for purposes of the 14th Amendment.</w:t>
      </w:r>
    </w:p>
    <w:p w14:paraId="079D50F6" w14:textId="77777777" w:rsidR="009D1FE1" w:rsidRPr="001A211C" w:rsidRDefault="009D1FE1" w:rsidP="009D1FE1">
      <w:pPr>
        <w:widowControl w:val="0"/>
        <w:jc w:val="both"/>
        <w:rPr>
          <w:rFonts w:cs="Times New Roman"/>
          <w:szCs w:val="24"/>
        </w:rPr>
      </w:pPr>
      <w:r w:rsidRPr="001A211C">
        <w:rPr>
          <w:rFonts w:cs="Times New Roman"/>
          <w:szCs w:val="24"/>
        </w:rPr>
        <w:tab/>
        <w:t xml:space="preserve">In 1976, the Court refused to apply the logic of </w:t>
      </w:r>
      <w:r w:rsidRPr="001A211C">
        <w:rPr>
          <w:rFonts w:cs="Times New Roman"/>
          <w:i/>
          <w:szCs w:val="24"/>
        </w:rPr>
        <w:t>Marsh v. Alabama</w:t>
      </w:r>
      <w:r w:rsidRPr="001A211C">
        <w:rPr>
          <w:rFonts w:cs="Times New Roman"/>
          <w:szCs w:val="24"/>
        </w:rPr>
        <w:t xml:space="preserve"> (1946) to a private shopping center. In </w:t>
      </w:r>
      <w:r w:rsidRPr="001A211C">
        <w:rPr>
          <w:rFonts w:cs="Times New Roman"/>
          <w:i/>
          <w:szCs w:val="24"/>
        </w:rPr>
        <w:t>Hudgens v. National Labor Relations Board</w:t>
      </w:r>
      <w:r w:rsidRPr="001A211C">
        <w:rPr>
          <w:rFonts w:cs="Times New Roman"/>
          <w:szCs w:val="24"/>
        </w:rPr>
        <w:t xml:space="preserve"> (1976), the Court expressly overruled </w:t>
      </w:r>
      <w:r w:rsidRPr="001A211C">
        <w:rPr>
          <w:rFonts w:cs="Times New Roman"/>
          <w:i/>
          <w:szCs w:val="24"/>
        </w:rPr>
        <w:t>Amalgamated Food Employees Union v. Logan Valley Plaza</w:t>
      </w:r>
      <w:r w:rsidRPr="001A211C">
        <w:rPr>
          <w:rFonts w:cs="Times New Roman"/>
          <w:szCs w:val="24"/>
        </w:rPr>
        <w:t xml:space="preserve"> (1968), which, citing </w:t>
      </w:r>
      <w:r w:rsidRPr="001A211C">
        <w:rPr>
          <w:rFonts w:cs="Times New Roman"/>
          <w:i/>
          <w:szCs w:val="24"/>
        </w:rPr>
        <w:t>Marsh</w:t>
      </w:r>
      <w:r w:rsidRPr="001A211C">
        <w:rPr>
          <w:rFonts w:cs="Times New Roman"/>
          <w:szCs w:val="24"/>
        </w:rPr>
        <w:t>, had held that shopping centers were the functional equivalent of downtown shopping districts and must be open to the public.</w:t>
      </w:r>
    </w:p>
    <w:p w14:paraId="3937A6EA" w14:textId="77777777" w:rsidR="009D1FE1" w:rsidRPr="001A211C" w:rsidRDefault="009D1FE1" w:rsidP="009D1FE1">
      <w:pPr>
        <w:widowControl w:val="0"/>
        <w:jc w:val="both"/>
        <w:rPr>
          <w:rFonts w:cs="Times New Roman"/>
          <w:szCs w:val="24"/>
        </w:rPr>
      </w:pPr>
      <w:r w:rsidRPr="001A211C">
        <w:rPr>
          <w:rFonts w:cs="Times New Roman"/>
          <w:szCs w:val="24"/>
        </w:rPr>
        <w:tab/>
        <w:t xml:space="preserve">In </w:t>
      </w:r>
      <w:r w:rsidRPr="001A211C">
        <w:rPr>
          <w:rFonts w:cs="Times New Roman"/>
          <w:i/>
          <w:szCs w:val="24"/>
        </w:rPr>
        <w:t>Flagg Brothers v. Brooks</w:t>
      </w:r>
      <w:r w:rsidRPr="001A211C">
        <w:rPr>
          <w:rFonts w:cs="Times New Roman"/>
          <w:szCs w:val="24"/>
        </w:rPr>
        <w:t xml:space="preserve"> (1978), the Court held there was no state action (and thus no </w:t>
      </w:r>
      <w:r w:rsidRPr="001A211C">
        <w:rPr>
          <w:rFonts w:cs="Times New Roman"/>
          <w:szCs w:val="24"/>
        </w:rPr>
        <w:lastRenderedPageBreak/>
        <w:t>possibility for a due process claim) when a storage facility sold a renter's goods, as it was authorized to do so by state law, without approval from any judicial official:</w:t>
      </w:r>
    </w:p>
    <w:p w14:paraId="270B25AB" w14:textId="77777777" w:rsidR="009D1FE1" w:rsidRPr="001A211C" w:rsidRDefault="009D1FE1" w:rsidP="009D1FE1">
      <w:pPr>
        <w:widowControl w:val="0"/>
        <w:ind w:left="720"/>
        <w:jc w:val="both"/>
        <w:rPr>
          <w:rFonts w:cs="Times New Roman"/>
          <w:szCs w:val="24"/>
        </w:rPr>
      </w:pPr>
      <w:r w:rsidRPr="001A211C">
        <w:rPr>
          <w:rFonts w:cs="Times New Roman"/>
          <w:szCs w:val="24"/>
        </w:rPr>
        <w:t>Respondents' primary contention is that New York has delegated to Flagg Brothers a power "traditionally exclusively reserved to the State." They argue that the resolution of private disputes is a traditional function of civil government, and that the State in § 7-210 has delegated this function to Flagg Brothers. Respondents, however, have read too much into the language of our previous cases. While many functions have been traditionally performed by governments, very few have been "exclusively reserved to the State."</w:t>
      </w:r>
    </w:p>
    <w:p w14:paraId="71B0CF9C" w14:textId="77777777" w:rsidR="009D1FE1" w:rsidRPr="001A211C" w:rsidRDefault="009D1FE1" w:rsidP="009D1FE1">
      <w:pPr>
        <w:widowControl w:val="0"/>
        <w:jc w:val="both"/>
        <w:rPr>
          <w:rFonts w:cs="Times New Roman"/>
          <w:szCs w:val="24"/>
        </w:rPr>
      </w:pPr>
      <w:r w:rsidRPr="001A211C">
        <w:rPr>
          <w:rFonts w:cs="Times New Roman"/>
          <w:szCs w:val="24"/>
        </w:rPr>
        <w:t>The Court elaborated on the exclusive function theme:</w:t>
      </w:r>
    </w:p>
    <w:p w14:paraId="2719803F" w14:textId="77777777" w:rsidR="009D1FE1" w:rsidRPr="001A211C" w:rsidRDefault="009D1FE1" w:rsidP="009D1FE1">
      <w:pPr>
        <w:widowControl w:val="0"/>
        <w:ind w:left="720"/>
        <w:jc w:val="both"/>
        <w:rPr>
          <w:rFonts w:cs="Times New Roman"/>
          <w:szCs w:val="24"/>
        </w:rPr>
      </w:pPr>
      <w:r w:rsidRPr="001A211C">
        <w:rPr>
          <w:rFonts w:cs="Times New Roman"/>
          <w:szCs w:val="24"/>
        </w:rPr>
        <w:t xml:space="preserve">And we would be remiss if we did not note that there are </w:t>
      </w:r>
      <w:proofErr w:type="gramStart"/>
      <w:r w:rsidRPr="001A211C">
        <w:rPr>
          <w:rFonts w:cs="Times New Roman"/>
          <w:szCs w:val="24"/>
        </w:rPr>
        <w:t>a number of</w:t>
      </w:r>
      <w:proofErr w:type="gramEnd"/>
      <w:r w:rsidRPr="001A211C">
        <w:rPr>
          <w:rFonts w:cs="Times New Roman"/>
          <w:szCs w:val="24"/>
        </w:rPr>
        <w:t xml:space="preserve"> state and municipal functions not covered by our election cases or governed by the reasoning of </w:t>
      </w:r>
      <w:r w:rsidRPr="001A211C">
        <w:rPr>
          <w:rFonts w:cs="Times New Roman"/>
          <w:i/>
          <w:szCs w:val="24"/>
        </w:rPr>
        <w:t>Marsh</w:t>
      </w:r>
      <w:r w:rsidRPr="001A211C">
        <w:rPr>
          <w:rFonts w:cs="Times New Roman"/>
          <w:szCs w:val="24"/>
        </w:rPr>
        <w:t xml:space="preserve"> which have been administered with a greater degree of exclusivity by States and municipalities than has the function of so-called "dispute resolution." Among these are such functions as education, fire and police protection, and tax collection. We express no view as to the extent, if any, to which a city or State might be free to delegate to private parties the performance of such functions and thereby avoid the strictures of the 14th Amendment.</w:t>
      </w:r>
    </w:p>
    <w:p w14:paraId="1859AC02" w14:textId="77777777" w:rsidR="009D1FE1" w:rsidRPr="001A211C" w:rsidRDefault="009D1FE1" w:rsidP="009D1FE1">
      <w:pPr>
        <w:widowControl w:val="0"/>
        <w:jc w:val="both"/>
        <w:rPr>
          <w:rFonts w:cs="Times New Roman"/>
          <w:szCs w:val="24"/>
        </w:rPr>
      </w:pPr>
      <w:r w:rsidRPr="001A211C">
        <w:rPr>
          <w:rFonts w:cs="Times New Roman"/>
          <w:szCs w:val="24"/>
        </w:rPr>
        <w:tab/>
        <w:t xml:space="preserve">The Court continued to narrow its approach to state action in </w:t>
      </w:r>
      <w:r w:rsidRPr="001A211C">
        <w:rPr>
          <w:rFonts w:cs="Times New Roman"/>
          <w:i/>
          <w:szCs w:val="24"/>
        </w:rPr>
        <w:t xml:space="preserve">Blum v. </w:t>
      </w:r>
      <w:proofErr w:type="spellStart"/>
      <w:r w:rsidRPr="001A211C">
        <w:rPr>
          <w:rFonts w:cs="Times New Roman"/>
          <w:i/>
          <w:szCs w:val="24"/>
        </w:rPr>
        <w:t>Yaretsky</w:t>
      </w:r>
      <w:proofErr w:type="spellEnd"/>
      <w:r w:rsidRPr="001A211C">
        <w:rPr>
          <w:rFonts w:cs="Times New Roman"/>
          <w:szCs w:val="24"/>
        </w:rPr>
        <w:t xml:space="preserve"> (1982) and </w:t>
      </w:r>
      <w:r w:rsidRPr="001A211C">
        <w:rPr>
          <w:rFonts w:cs="Times New Roman"/>
          <w:i/>
          <w:szCs w:val="24"/>
        </w:rPr>
        <w:t>Rendell-Baker v. Kohn</w:t>
      </w:r>
      <w:r w:rsidRPr="001A211C">
        <w:rPr>
          <w:rFonts w:cs="Times New Roman"/>
          <w:szCs w:val="24"/>
        </w:rPr>
        <w:t xml:space="preserve"> (1982). In </w:t>
      </w:r>
      <w:r w:rsidRPr="001A211C">
        <w:rPr>
          <w:rFonts w:cs="Times New Roman"/>
          <w:i/>
          <w:szCs w:val="24"/>
        </w:rPr>
        <w:t>Blum</w:t>
      </w:r>
      <w:r w:rsidRPr="001A211C">
        <w:rPr>
          <w:rFonts w:cs="Times New Roman"/>
          <w:szCs w:val="24"/>
        </w:rPr>
        <w:t>, the Court rejected a claim that providing Medicare services was a public function. The plaintiff had argued that a nursing home was a state actor because the state funded his care and regulated it, and that the provision of medical care for the elderly was a public function. In rejecting a due process challenge from a patient whose medical care had been unilaterally adjusted, the Court held:</w:t>
      </w:r>
    </w:p>
    <w:p w14:paraId="43288844" w14:textId="77777777" w:rsidR="009D1FE1" w:rsidRPr="001A211C" w:rsidRDefault="009D1FE1" w:rsidP="009D1FE1">
      <w:pPr>
        <w:widowControl w:val="0"/>
        <w:ind w:left="720"/>
        <w:jc w:val="both"/>
        <w:rPr>
          <w:rFonts w:cs="Times New Roman"/>
          <w:szCs w:val="24"/>
        </w:rPr>
      </w:pPr>
      <w:r w:rsidRPr="001A211C">
        <w:rPr>
          <w:rFonts w:cs="Times New Roman"/>
          <w:szCs w:val="24"/>
        </w:rPr>
        <w:t xml:space="preserve">We are also unable to conclude that the nursing homes perform a function that has been "traditionally the exclusive prerogative of the State." </w:t>
      </w:r>
      <w:r w:rsidRPr="001A211C">
        <w:rPr>
          <w:rFonts w:cs="Times New Roman"/>
          <w:i/>
          <w:szCs w:val="24"/>
        </w:rPr>
        <w:t>Jackson v. Metropolitan Edison Co</w:t>
      </w:r>
      <w:r w:rsidRPr="001A211C">
        <w:rPr>
          <w:rFonts w:cs="Times New Roman"/>
          <w:szCs w:val="24"/>
        </w:rPr>
        <w:t xml:space="preserve">. Respondents' argument in this regard is premised on their assertion that both the Medicaid statute and the New York Constitution make the State responsible for providing every Medicaid patient with nursing home services. The state constitutional provisions cited by respondents, however, do no more than authorize the legislature to provide funds for the care of the needy. See N.Y. Const., Art. XVII, §§ 1, 3. They do not mandate the provision of any </w:t>
      </w:r>
      <w:proofErr w:type="gramStart"/>
      <w:r w:rsidRPr="001A211C">
        <w:rPr>
          <w:rFonts w:cs="Times New Roman"/>
          <w:szCs w:val="24"/>
        </w:rPr>
        <w:t>particular care</w:t>
      </w:r>
      <w:proofErr w:type="gramEnd"/>
      <w:r w:rsidRPr="001A211C">
        <w:rPr>
          <w:rFonts w:cs="Times New Roman"/>
          <w:szCs w:val="24"/>
        </w:rPr>
        <w:t>, much less long-term nursing care. Similarly, the Medicaid statute requires that the States provide funding for skilled nursing services as a condition to the receipt of federal moneys. It does not require that the States provide the services themselves. Even if respondents' characterization of the State's duties were correct,</w:t>
      </w:r>
      <w:r w:rsidRPr="001A211C">
        <w:rPr>
          <w:rFonts w:cs="Times New Roman"/>
          <w:b/>
          <w:szCs w:val="24"/>
        </w:rPr>
        <w:t xml:space="preserve"> </w:t>
      </w:r>
      <w:r w:rsidRPr="001A211C">
        <w:rPr>
          <w:rFonts w:cs="Times New Roman"/>
          <w:szCs w:val="24"/>
        </w:rPr>
        <w:t>however, it would not follow that decisions made in the day-to-day administration of a nursing</w:t>
      </w:r>
      <w:r w:rsidRPr="001A211C">
        <w:rPr>
          <w:rFonts w:cs="Times New Roman"/>
          <w:b/>
          <w:szCs w:val="24"/>
        </w:rPr>
        <w:t xml:space="preserve"> </w:t>
      </w:r>
      <w:r w:rsidRPr="001A211C">
        <w:rPr>
          <w:rFonts w:cs="Times New Roman"/>
          <w:szCs w:val="24"/>
        </w:rPr>
        <w:t>home are the kind of decisions traditionally and exclusively made by the sovereign for and on behalf of the public. Indeed, respondents make no such claim, nor could they.</w:t>
      </w:r>
    </w:p>
    <w:p w14:paraId="050073BF" w14:textId="77777777" w:rsidR="009D1FE1" w:rsidRPr="001A211C" w:rsidRDefault="009D1FE1" w:rsidP="009D1FE1">
      <w:pPr>
        <w:widowControl w:val="0"/>
        <w:jc w:val="both"/>
        <w:rPr>
          <w:rFonts w:cs="Times New Roman"/>
          <w:szCs w:val="24"/>
        </w:rPr>
      </w:pPr>
      <w:r w:rsidRPr="001A211C">
        <w:rPr>
          <w:rFonts w:cs="Times New Roman"/>
          <w:szCs w:val="24"/>
        </w:rPr>
        <w:tab/>
        <w:t xml:space="preserve">The Court also rejected entanglement as a basis for state action. In </w:t>
      </w:r>
      <w:r w:rsidRPr="001A211C">
        <w:rPr>
          <w:rFonts w:cs="Times New Roman"/>
          <w:i/>
          <w:szCs w:val="24"/>
        </w:rPr>
        <w:t>Blum</w:t>
      </w:r>
      <w:r w:rsidRPr="001A211C">
        <w:rPr>
          <w:rFonts w:cs="Times New Roman"/>
          <w:szCs w:val="24"/>
        </w:rPr>
        <w:t xml:space="preserve">, Medicaid patients </w:t>
      </w:r>
      <w:r w:rsidRPr="001A211C">
        <w:rPr>
          <w:rFonts w:cs="Times New Roman"/>
          <w:szCs w:val="24"/>
        </w:rPr>
        <w:lastRenderedPageBreak/>
        <w:t>were transferred to lower levels of care based upon a private physician's evaluation of their condition. However, the standards that the physician was to apply had been promulgated by the State.</w:t>
      </w:r>
    </w:p>
    <w:p w14:paraId="7D650E18" w14:textId="77777777" w:rsidR="009D1FE1" w:rsidRPr="001A211C" w:rsidRDefault="009D1FE1" w:rsidP="009D1FE1">
      <w:pPr>
        <w:widowControl w:val="0"/>
        <w:ind w:left="720" w:firstLine="720"/>
        <w:jc w:val="both"/>
        <w:rPr>
          <w:rFonts w:cs="Times New Roman"/>
          <w:szCs w:val="24"/>
        </w:rPr>
      </w:pPr>
      <w:r w:rsidRPr="001A211C">
        <w:rPr>
          <w:rFonts w:cs="Times New Roman"/>
          <w:szCs w:val="24"/>
        </w:rPr>
        <w:t xml:space="preserve">First, although it is apparent that nursing homes in New York are extensively regulated, "[t]he mere fact that a business is subject to state regulation does not by itself convert its action into that of the State for purposes of the 14th Amendment." </w:t>
      </w:r>
      <w:r w:rsidRPr="001A211C">
        <w:rPr>
          <w:rFonts w:cs="Times New Roman"/>
          <w:i/>
          <w:szCs w:val="24"/>
        </w:rPr>
        <w:t>Jackson v. Metropolitan Edison Co</w:t>
      </w:r>
      <w:r w:rsidRPr="001A211C">
        <w:rPr>
          <w:rFonts w:cs="Times New Roman"/>
          <w:szCs w:val="24"/>
        </w:rPr>
        <w:t>. The complaining party must also show that "there is a sufficiently close nexus between the State and the challenged action of the regulated entity so that the action of the latter may be fairly treated as that of the State itself." The purpose of this requirement is to assure that constitutional standards are invoked only when it can be said that the State is responsible for the specific conduct of which the plaintiff complains. The importance of this assurance is evident when, as in this case, the complaining party seeks to hold the State liable for the actions of private parties</w:t>
      </w:r>
      <w:proofErr w:type="gramStart"/>
      <w:r w:rsidRPr="001A211C">
        <w:rPr>
          <w:rFonts w:cs="Times New Roman"/>
          <w:szCs w:val="24"/>
        </w:rPr>
        <w:t>. . . .</w:t>
      </w:r>
      <w:proofErr w:type="gramEnd"/>
    </w:p>
    <w:p w14:paraId="28DAB943" w14:textId="77777777" w:rsidR="009D1FE1" w:rsidRPr="001A211C" w:rsidRDefault="009D1FE1" w:rsidP="009D1FE1">
      <w:pPr>
        <w:widowControl w:val="0"/>
        <w:ind w:left="720" w:firstLine="720"/>
        <w:jc w:val="both"/>
        <w:rPr>
          <w:rFonts w:cs="Times New Roman"/>
          <w:szCs w:val="24"/>
        </w:rPr>
      </w:pPr>
      <w:r w:rsidRPr="001A211C">
        <w:rPr>
          <w:rFonts w:cs="Times New Roman"/>
          <w:szCs w:val="24"/>
        </w:rPr>
        <w:t xml:space="preserve">These regulations do not require the nursing homes to rely on the forms in making discharge or transfer decisions, nor do they demonstrate that the State is responsible for the decision to discharge or transfer </w:t>
      </w:r>
      <w:proofErr w:type="gramStart"/>
      <w:r w:rsidRPr="001A211C">
        <w:rPr>
          <w:rFonts w:cs="Times New Roman"/>
          <w:szCs w:val="24"/>
        </w:rPr>
        <w:t>particular patients</w:t>
      </w:r>
      <w:proofErr w:type="gramEnd"/>
      <w:r w:rsidRPr="001A211C">
        <w:rPr>
          <w:rFonts w:cs="Times New Roman"/>
          <w:szCs w:val="24"/>
        </w:rPr>
        <w:t xml:space="preserve">. Those decisions ultimately turn on medical judgments made by private parties according to professional standards that are not established by the State. This case, therefore, is not unlike </w:t>
      </w:r>
      <w:r w:rsidRPr="001A211C">
        <w:rPr>
          <w:rFonts w:cs="Times New Roman"/>
          <w:i/>
          <w:szCs w:val="24"/>
        </w:rPr>
        <w:t>Polk County v. Dodson</w:t>
      </w:r>
      <w:r w:rsidRPr="001A211C">
        <w:rPr>
          <w:rFonts w:cs="Times New Roman"/>
          <w:szCs w:val="24"/>
        </w:rPr>
        <w:t xml:space="preserve"> (1981), in which the question was whether a public defender acts "under color of" state law within the meaning of 42 U.S.C. § 1983 when representing an indigent defendant in a state criminal proceeding. Although the public defender was employed by the State and appointed by the State to represent the respondent, we concluded that "[t]his assignment entailed functions and obligations in no way dependent on state authority." The decisions made by the public defender </w:t>
      </w:r>
      <w:proofErr w:type="gramStart"/>
      <w:r w:rsidRPr="001A211C">
        <w:rPr>
          <w:rFonts w:cs="Times New Roman"/>
          <w:szCs w:val="24"/>
        </w:rPr>
        <w:t>in the course of</w:t>
      </w:r>
      <w:proofErr w:type="gramEnd"/>
      <w:r w:rsidRPr="001A211C">
        <w:rPr>
          <w:rFonts w:cs="Times New Roman"/>
          <w:szCs w:val="24"/>
        </w:rPr>
        <w:t xml:space="preserve"> representing his client were framed in accordance with professional canons of ethics, rather than dictated by any rule of conduct imposed by the State. The same is true of nursing home decisions to discharge or transfer </w:t>
      </w:r>
      <w:proofErr w:type="gramStart"/>
      <w:r w:rsidRPr="001A211C">
        <w:rPr>
          <w:rFonts w:cs="Times New Roman"/>
          <w:szCs w:val="24"/>
        </w:rPr>
        <w:t>particular patients</w:t>
      </w:r>
      <w:proofErr w:type="gramEnd"/>
      <w:r w:rsidRPr="001A211C">
        <w:rPr>
          <w:rFonts w:cs="Times New Roman"/>
          <w:szCs w:val="24"/>
        </w:rPr>
        <w:t xml:space="preserve"> because the care they are receiving is medically inappropriate.</w:t>
      </w:r>
    </w:p>
    <w:p w14:paraId="6A0213A2" w14:textId="77777777" w:rsidR="009D1FE1" w:rsidRPr="001A211C" w:rsidRDefault="009D1FE1" w:rsidP="009D1FE1">
      <w:pPr>
        <w:widowControl w:val="0"/>
        <w:jc w:val="both"/>
        <w:rPr>
          <w:rFonts w:cs="Times New Roman"/>
          <w:szCs w:val="24"/>
        </w:rPr>
      </w:pPr>
      <w:r w:rsidRPr="001A211C">
        <w:rPr>
          <w:rFonts w:cs="Times New Roman"/>
          <w:szCs w:val="24"/>
        </w:rPr>
        <w:tab/>
        <w:t xml:space="preserve">In </w:t>
      </w:r>
      <w:r w:rsidRPr="001A211C">
        <w:rPr>
          <w:rFonts w:cs="Times New Roman"/>
          <w:i/>
          <w:szCs w:val="24"/>
        </w:rPr>
        <w:t>Rendell-Baker v. Kohn</w:t>
      </w:r>
      <w:r w:rsidRPr="001A211C">
        <w:rPr>
          <w:rFonts w:cs="Times New Roman"/>
          <w:szCs w:val="24"/>
        </w:rPr>
        <w:t xml:space="preserve"> (1982), the plaintiff taught at a private school for disturbed children. The school received virtually </w:t>
      </w:r>
      <w:proofErr w:type="gramStart"/>
      <w:r w:rsidRPr="001A211C">
        <w:rPr>
          <w:rFonts w:cs="Times New Roman"/>
          <w:szCs w:val="24"/>
        </w:rPr>
        <w:t>all of</w:t>
      </w:r>
      <w:proofErr w:type="gramEnd"/>
      <w:r w:rsidRPr="001A211C">
        <w:rPr>
          <w:rFonts w:cs="Times New Roman"/>
          <w:szCs w:val="24"/>
        </w:rPr>
        <w:t xml:space="preserve"> its operating funds from the state, and the state had diverted the children from the public schools to the private school. The plaintiff had filed a free speech claim, which would have been cognizable at a public school. The Court rejected her claim, finding no state action:</w:t>
      </w:r>
    </w:p>
    <w:p w14:paraId="6CB814F3" w14:textId="77777777" w:rsidR="009D1FE1" w:rsidRPr="001A211C" w:rsidRDefault="009D1FE1" w:rsidP="009D1FE1">
      <w:pPr>
        <w:widowControl w:val="0"/>
        <w:ind w:left="720"/>
        <w:jc w:val="both"/>
        <w:rPr>
          <w:rFonts w:cs="Times New Roman"/>
          <w:szCs w:val="24"/>
        </w:rPr>
      </w:pPr>
      <w:r w:rsidRPr="001A211C">
        <w:rPr>
          <w:rFonts w:cs="Times New Roman"/>
          <w:szCs w:val="24"/>
        </w:rPr>
        <w:t xml:space="preserve">The third factor asserted to show that the school is a state actor is that it performs a "public function." However, our holdings have made clear that the relevant question is not simply whether a private group is serving a "public function." We have held that the question is whether the function performed has been "traditionally the exclusive prerogative of the State." </w:t>
      </w:r>
      <w:r w:rsidRPr="001A211C">
        <w:rPr>
          <w:rFonts w:cs="Times New Roman"/>
          <w:i/>
          <w:szCs w:val="24"/>
        </w:rPr>
        <w:t>Jackson</w:t>
      </w:r>
      <w:r w:rsidRPr="001A211C">
        <w:rPr>
          <w:rFonts w:cs="Times New Roman"/>
          <w:szCs w:val="24"/>
        </w:rPr>
        <w:t xml:space="preserve">. There can be no doubt that the education of maladjusted high school students is a public function, but that is only the beginning of the inquiry. Chapter 766 of </w:t>
      </w:r>
      <w:r w:rsidRPr="001A211C">
        <w:rPr>
          <w:rFonts w:cs="Times New Roman"/>
          <w:szCs w:val="24"/>
        </w:rPr>
        <w:lastRenderedPageBreak/>
        <w:t>the Massachusetts Acts of 1972 demonstrates that the State intends to provide services for such students at public expense. That legislative policy choice in no way makes these services the exclusive province of the State. Indeed, the Court of Appeals noted that until recently the State had not undertaken to provide education for students who could not be served by traditional public schools. That a private entity performs a function which serves the public does not make its acts state action.</w:t>
      </w:r>
    </w:p>
    <w:p w14:paraId="6D08AC14" w14:textId="77777777" w:rsidR="009D1FE1" w:rsidRPr="001A211C" w:rsidRDefault="009D1FE1" w:rsidP="009D1FE1">
      <w:pPr>
        <w:widowControl w:val="0"/>
        <w:jc w:val="both"/>
        <w:rPr>
          <w:rFonts w:cs="Times New Roman"/>
          <w:szCs w:val="24"/>
        </w:rPr>
      </w:pPr>
      <w:r w:rsidRPr="001A211C">
        <w:rPr>
          <w:rFonts w:cs="Times New Roman"/>
          <w:szCs w:val="24"/>
        </w:rPr>
        <w:tab/>
        <w:t xml:space="preserve">The </w:t>
      </w:r>
      <w:r w:rsidRPr="001A211C">
        <w:rPr>
          <w:rFonts w:cs="Times New Roman"/>
          <w:i/>
          <w:szCs w:val="24"/>
        </w:rPr>
        <w:t>Rendell-Bake</w:t>
      </w:r>
      <w:r w:rsidRPr="001A211C">
        <w:rPr>
          <w:rFonts w:cs="Times New Roman"/>
          <w:szCs w:val="24"/>
        </w:rPr>
        <w:t>r Court also rejected entanglement as a basis for state action. The Court noted:</w:t>
      </w:r>
    </w:p>
    <w:p w14:paraId="00BE7A93" w14:textId="77777777" w:rsidR="009D1FE1" w:rsidRPr="001A211C" w:rsidRDefault="009D1FE1" w:rsidP="009D1FE1">
      <w:pPr>
        <w:widowControl w:val="0"/>
        <w:ind w:left="720" w:firstLine="720"/>
        <w:jc w:val="both"/>
        <w:rPr>
          <w:rFonts w:cs="Times New Roman"/>
          <w:szCs w:val="24"/>
        </w:rPr>
      </w:pPr>
      <w:r w:rsidRPr="001A211C">
        <w:rPr>
          <w:rFonts w:cs="Times New Roman"/>
          <w:szCs w:val="24"/>
        </w:rPr>
        <w:t xml:space="preserve">The District Court took as its standard "‘whether there is a sufficiently close nexus between the State and the challenged action of the regulated entity so that the action of the latter may be fairly treated as that of the State itself,'" quoting </w:t>
      </w:r>
      <w:r w:rsidRPr="001A211C">
        <w:rPr>
          <w:rFonts w:cs="Times New Roman"/>
          <w:i/>
          <w:szCs w:val="24"/>
        </w:rPr>
        <w:t>Jackson v. Metropolitan Edison Co</w:t>
      </w:r>
      <w:r w:rsidRPr="001A211C">
        <w:rPr>
          <w:rFonts w:cs="Times New Roman"/>
          <w:szCs w:val="24"/>
        </w:rPr>
        <w:t>. Noting that, although the State regulated the school in many ways, it imposed few conditions on the school's personnel policies, the District Court concluded that the nexus between the school and the State was not sufficiently close so that the action of the school in discharging Rendell-Baker could be considered action of the Commonwealth of Massachusetts. …</w:t>
      </w:r>
    </w:p>
    <w:p w14:paraId="2670FDE5" w14:textId="77777777" w:rsidR="009D1FE1" w:rsidRPr="001A211C" w:rsidRDefault="009D1FE1" w:rsidP="009D1FE1">
      <w:pPr>
        <w:widowControl w:val="0"/>
        <w:ind w:left="720" w:firstLine="720"/>
        <w:jc w:val="both"/>
        <w:rPr>
          <w:rFonts w:cs="Times New Roman"/>
          <w:szCs w:val="24"/>
        </w:rPr>
      </w:pPr>
      <w:r w:rsidRPr="001A211C">
        <w:rPr>
          <w:rFonts w:cs="Times New Roman"/>
          <w:szCs w:val="24"/>
        </w:rPr>
        <w:t xml:space="preserve">The school, like the nursing homes [in </w:t>
      </w:r>
      <w:r w:rsidRPr="001A211C">
        <w:rPr>
          <w:rFonts w:cs="Times New Roman"/>
          <w:i/>
          <w:szCs w:val="24"/>
        </w:rPr>
        <w:t>Blum</w:t>
      </w:r>
      <w:r w:rsidRPr="001A211C">
        <w:rPr>
          <w:rFonts w:cs="Times New Roman"/>
          <w:szCs w:val="24"/>
        </w:rPr>
        <w:t>], is not fundamentally different from many private corporations whose business depends primarily on contracts to build roads, bridges, dams, ships, or submarines for the government. Acts of such private contractors do not become acts of the government by reason of their significant or even total engagement in performing public contracts.</w:t>
      </w:r>
    </w:p>
    <w:p w14:paraId="57C8FF46" w14:textId="77777777" w:rsidR="009D1FE1" w:rsidRPr="001A211C" w:rsidRDefault="009D1FE1" w:rsidP="009D1FE1">
      <w:pPr>
        <w:widowControl w:val="0"/>
        <w:jc w:val="both"/>
        <w:rPr>
          <w:rFonts w:cs="Times New Roman"/>
          <w:szCs w:val="24"/>
        </w:rPr>
      </w:pPr>
      <w:r w:rsidRPr="001A211C">
        <w:rPr>
          <w:rFonts w:cs="Times New Roman"/>
          <w:szCs w:val="24"/>
        </w:rPr>
        <w:tab/>
        <w:t xml:space="preserve">As </w:t>
      </w:r>
      <w:r w:rsidRPr="001A211C">
        <w:rPr>
          <w:rFonts w:cs="Times New Roman"/>
          <w:i/>
          <w:szCs w:val="24"/>
        </w:rPr>
        <w:t>Shelley</w:t>
      </w:r>
      <w:r w:rsidRPr="001A211C">
        <w:rPr>
          <w:rFonts w:cs="Times New Roman"/>
          <w:szCs w:val="24"/>
        </w:rPr>
        <w:t xml:space="preserve"> </w:t>
      </w:r>
      <w:r w:rsidRPr="001A211C">
        <w:rPr>
          <w:rFonts w:cs="Times New Roman"/>
          <w:i/>
          <w:szCs w:val="24"/>
        </w:rPr>
        <w:t xml:space="preserve">v. Kraemer </w:t>
      </w:r>
      <w:r w:rsidRPr="001A211C">
        <w:rPr>
          <w:rFonts w:cs="Times New Roman"/>
          <w:szCs w:val="24"/>
        </w:rPr>
        <w:t xml:space="preserve">noted, a state supreme court creates binding law as surely as a state legislature and in at least some situations court decisions supporting private bias will be classified as impermissible state action. The Court has held there to be impermissible state action when litigants use peremptory challenges to exclude jurors </w:t>
      </w:r>
      <w:proofErr w:type="gramStart"/>
      <w:r w:rsidRPr="001A211C">
        <w:rPr>
          <w:rFonts w:cs="Times New Roman"/>
          <w:szCs w:val="24"/>
        </w:rPr>
        <w:t>on the basis of</w:t>
      </w:r>
      <w:proofErr w:type="gramEnd"/>
      <w:r w:rsidRPr="001A211C">
        <w:rPr>
          <w:rFonts w:cs="Times New Roman"/>
          <w:szCs w:val="24"/>
        </w:rPr>
        <w:t xml:space="preserve"> race or gender — even when the parties are completely private. </w:t>
      </w:r>
      <w:r w:rsidRPr="001A211C">
        <w:rPr>
          <w:rFonts w:cs="Times New Roman"/>
          <w:i/>
          <w:szCs w:val="24"/>
        </w:rPr>
        <w:t>See Edmonson v. Leesville Concrete Co.</w:t>
      </w:r>
      <w:r w:rsidRPr="001A211C">
        <w:rPr>
          <w:rFonts w:cs="Times New Roman"/>
          <w:szCs w:val="24"/>
        </w:rPr>
        <w:t xml:space="preserve"> (1991).</w:t>
      </w:r>
    </w:p>
    <w:p w14:paraId="54F617E7" w14:textId="77777777" w:rsidR="009D1FE1" w:rsidRPr="001A211C" w:rsidRDefault="009D1FE1" w:rsidP="009D1FE1">
      <w:pPr>
        <w:widowControl w:val="0"/>
        <w:jc w:val="both"/>
        <w:rPr>
          <w:rFonts w:cs="Times New Roman"/>
          <w:szCs w:val="24"/>
        </w:rPr>
      </w:pPr>
      <w:r w:rsidRPr="001A211C">
        <w:rPr>
          <w:rFonts w:cs="Times New Roman"/>
          <w:szCs w:val="24"/>
        </w:rPr>
        <w:tab/>
        <w:t xml:space="preserve">In 2001, the Court found state action under the entanglement theory. In </w:t>
      </w:r>
      <w:r w:rsidRPr="001A211C">
        <w:rPr>
          <w:rFonts w:cs="Times New Roman"/>
          <w:i/>
          <w:szCs w:val="24"/>
        </w:rPr>
        <w:t>Brentwood Academy v. Tennessee Secondary School Athletic Association</w:t>
      </w:r>
      <w:r w:rsidRPr="001A211C">
        <w:rPr>
          <w:rFonts w:cs="Times New Roman"/>
          <w:szCs w:val="24"/>
        </w:rPr>
        <w:t xml:space="preserve"> (2001), the Court held 5–4 that a private association that regulated high school athletics was a state actor. Eighty-four per cent of the members were public schools and public officials sat on the board of directors. Justice Souter, joined by Justices O'Connor, Stevens, Ginsburg, and Breyer, concluded:</w:t>
      </w:r>
    </w:p>
    <w:p w14:paraId="7FFFD7A0" w14:textId="77777777" w:rsidR="009D1FE1" w:rsidRPr="001A211C" w:rsidRDefault="009D1FE1" w:rsidP="009D1FE1">
      <w:pPr>
        <w:widowControl w:val="0"/>
        <w:ind w:left="720"/>
        <w:jc w:val="both"/>
        <w:rPr>
          <w:rFonts w:cs="Times New Roman"/>
          <w:szCs w:val="24"/>
        </w:rPr>
      </w:pPr>
      <w:r w:rsidRPr="001A211C">
        <w:rPr>
          <w:rFonts w:cs="Times New Roman"/>
          <w:szCs w:val="24"/>
        </w:rPr>
        <w:t>The nominally private character of the Association is overborne by the pervasive entwinement of public institutions and public officials in its composition and workings, and there is no substantial reason to claim unfairness in applying constitutional standards to it.</w:t>
      </w:r>
    </w:p>
    <w:p w14:paraId="150005BF" w14:textId="77777777" w:rsidR="009D1FE1" w:rsidRPr="001A211C" w:rsidRDefault="009D1FE1" w:rsidP="009D1FE1">
      <w:pPr>
        <w:widowControl w:val="0"/>
        <w:jc w:val="both"/>
        <w:rPr>
          <w:rFonts w:cs="Times New Roman"/>
          <w:szCs w:val="24"/>
        </w:rPr>
      </w:pPr>
      <w:r w:rsidRPr="001A211C">
        <w:rPr>
          <w:rFonts w:cs="Times New Roman"/>
          <w:szCs w:val="24"/>
        </w:rPr>
        <w:tab/>
        <w:t xml:space="preserve">Justice Thomas, joined by Chief Justice Rehnquist, and Justices Scalia and Kennedy, </w:t>
      </w:r>
      <w:r w:rsidRPr="001A211C">
        <w:rPr>
          <w:rFonts w:cs="Times New Roman"/>
          <w:szCs w:val="24"/>
        </w:rPr>
        <w:lastRenderedPageBreak/>
        <w:t>countered in dissent:</w:t>
      </w:r>
    </w:p>
    <w:p w14:paraId="3CE9242A" w14:textId="46EFD33E" w:rsidR="009D1FE1" w:rsidRDefault="009D1FE1" w:rsidP="009D1FE1">
      <w:pPr>
        <w:widowControl w:val="0"/>
        <w:ind w:left="720"/>
        <w:jc w:val="both"/>
        <w:rPr>
          <w:rFonts w:cs="Times New Roman"/>
          <w:szCs w:val="24"/>
        </w:rPr>
      </w:pPr>
      <w:r w:rsidRPr="001A211C">
        <w:rPr>
          <w:rFonts w:cs="Times New Roman"/>
          <w:szCs w:val="24"/>
        </w:rPr>
        <w:t>We have never found state action based upon mere "entwinement." Until today, we have found a private organization's acts to constitute state action only when the organization performed a public function; was created, coerced, or encouraged by the government; or acted in a symbiotic relationship with the government. The majority's holding — that the Tennessee Secondary School Athletic Association's (TSSAA) enforcement of its recruiting rule is state action — not only extends state-action doctrine beyond its permissible limits but also encroaches upon the realm of individual freedom that the doctrine was meant to protect. I respectfully dissent.</w:t>
      </w:r>
    </w:p>
    <w:p w14:paraId="571D2670" w14:textId="4CE5EEC3" w:rsidR="009D1FE1" w:rsidRPr="001A211C" w:rsidRDefault="009D1FE1" w:rsidP="009D1FE1">
      <w:pPr>
        <w:rPr>
          <w:rFonts w:cs="Times New Roman"/>
          <w:szCs w:val="24"/>
        </w:rPr>
      </w:pPr>
      <w:r w:rsidRPr="001A211C">
        <w:rPr>
          <w:rFonts w:cs="Times New Roman"/>
          <w:szCs w:val="24"/>
        </w:rPr>
        <w:tab/>
      </w:r>
      <w:r w:rsidR="003C2FD6">
        <w:rPr>
          <w:rFonts w:cs="Times New Roman"/>
          <w:szCs w:val="24"/>
        </w:rPr>
        <w:t>I</w:t>
      </w:r>
      <w:r w:rsidR="000F0939">
        <w:rPr>
          <w:rFonts w:cs="Times New Roman"/>
          <w:szCs w:val="24"/>
        </w:rPr>
        <w:t xml:space="preserve">n </w:t>
      </w:r>
      <w:r w:rsidR="000F0939" w:rsidRPr="000F0939">
        <w:rPr>
          <w:i/>
        </w:rPr>
        <w:t>Manhattan Community Access Corp. v. Halleck</w:t>
      </w:r>
      <w:r w:rsidR="000F0939">
        <w:t xml:space="preserve"> </w:t>
      </w:r>
      <w:r w:rsidR="000F0939" w:rsidRPr="000F0939">
        <w:t>(2019)</w:t>
      </w:r>
      <w:r w:rsidR="000F0939">
        <w:t xml:space="preserve"> </w:t>
      </w:r>
      <w:r w:rsidR="003C2FD6">
        <w:t xml:space="preserve">the Court </w:t>
      </w:r>
      <w:r w:rsidRPr="001A211C">
        <w:rPr>
          <w:rFonts w:cs="Times New Roman"/>
          <w:szCs w:val="24"/>
        </w:rPr>
        <w:t xml:space="preserve">held in a 5-4 decision that a public access television channel was not a “state actor” under the public function theory. New York state law requires cable operators to set aside channels on their cable systems for public access. Those channels are operated by the cable operator unless the local government chooses to itself operate the channels or designates a private entity to operate the channels. New York City had designated a private nonprofit corporation, </w:t>
      </w:r>
      <w:bookmarkStart w:id="61" w:name="_Hlk16684887"/>
      <w:r w:rsidRPr="001A211C">
        <w:rPr>
          <w:rFonts w:cs="Times New Roman"/>
          <w:szCs w:val="24"/>
        </w:rPr>
        <w:t>Manhattan Neighborhood Network (MNN)</w:t>
      </w:r>
      <w:bookmarkEnd w:id="61"/>
      <w:r w:rsidRPr="001A211C">
        <w:rPr>
          <w:rFonts w:cs="Times New Roman"/>
          <w:szCs w:val="24"/>
        </w:rPr>
        <w:t xml:space="preserve">, to operate the public access channels on Time Warner’s cable system in Manhattan. </w:t>
      </w:r>
      <w:r w:rsidR="003C2FD6">
        <w:rPr>
          <w:rFonts w:cs="Times New Roman"/>
          <w:szCs w:val="24"/>
        </w:rPr>
        <w:t>N</w:t>
      </w:r>
      <w:r w:rsidR="003C2FD6" w:rsidRPr="001A211C">
        <w:rPr>
          <w:rFonts w:cs="Times New Roman"/>
          <w:szCs w:val="24"/>
        </w:rPr>
        <w:t xml:space="preserve">ewly appointed </w:t>
      </w:r>
      <w:r w:rsidRPr="001A211C">
        <w:rPr>
          <w:rFonts w:cs="Times New Roman"/>
          <w:szCs w:val="24"/>
        </w:rPr>
        <w:t xml:space="preserve">Justice Kavanaugh, joined by Roberts, C.J., and Thomas, Alito, and Gorsuch, JJ., relied upon </w:t>
      </w:r>
      <w:r w:rsidRPr="001A211C">
        <w:rPr>
          <w:rFonts w:cs="Times New Roman"/>
          <w:i/>
          <w:szCs w:val="24"/>
        </w:rPr>
        <w:t>Jackson v. Metropolitan Edison Company</w:t>
      </w:r>
      <w:r w:rsidRPr="001A211C">
        <w:rPr>
          <w:rFonts w:cs="Times New Roman"/>
          <w:szCs w:val="24"/>
        </w:rPr>
        <w:t xml:space="preserve"> (1974) for the proposition that “the government must have traditionally </w:t>
      </w:r>
      <w:r w:rsidRPr="001A211C">
        <w:rPr>
          <w:rFonts w:cs="Times New Roman"/>
          <w:i/>
          <w:iCs/>
          <w:szCs w:val="24"/>
        </w:rPr>
        <w:t xml:space="preserve">and </w:t>
      </w:r>
      <w:r w:rsidRPr="001A211C">
        <w:rPr>
          <w:rFonts w:cs="Times New Roman"/>
          <w:szCs w:val="24"/>
        </w:rPr>
        <w:t xml:space="preserve">exclusively performed the function,” adding, “The Court has stressed that ‘very few’ functions fall into that category.” The majority concluded that operating television channels was not a traditional, exclusive public function. Responding to the petitioners’ argument that the channel represented a public forum because it was created pursuant to a statutory requirement, the majority contended its forum function could not be analyzed as to </w:t>
      </w:r>
      <w:proofErr w:type="gramStart"/>
      <w:r w:rsidRPr="001A211C">
        <w:rPr>
          <w:rFonts w:cs="Times New Roman"/>
          <w:szCs w:val="24"/>
        </w:rPr>
        <w:t>whether or not</w:t>
      </w:r>
      <w:proofErr w:type="gramEnd"/>
      <w:r w:rsidRPr="001A211C">
        <w:rPr>
          <w:rFonts w:cs="Times New Roman"/>
          <w:szCs w:val="24"/>
        </w:rPr>
        <w:t xml:space="preserve"> it was a “public forum” because the state action issue must </w:t>
      </w:r>
      <w:r w:rsidRPr="001A211C">
        <w:rPr>
          <w:rFonts w:cs="Times New Roman"/>
          <w:i/>
          <w:szCs w:val="24"/>
        </w:rPr>
        <w:t>precede</w:t>
      </w:r>
      <w:r w:rsidRPr="001A211C">
        <w:rPr>
          <w:rFonts w:cs="Times New Roman"/>
          <w:szCs w:val="24"/>
        </w:rPr>
        <w:t xml:space="preserve"> any forum function issue. Justice Kavanaugh concluded:</w:t>
      </w:r>
    </w:p>
    <w:p w14:paraId="145885F6" w14:textId="77777777" w:rsidR="009D1FE1" w:rsidRPr="001A211C" w:rsidRDefault="009D1FE1" w:rsidP="009D1FE1">
      <w:pPr>
        <w:ind w:left="720"/>
        <w:rPr>
          <w:rFonts w:cs="Times New Roman"/>
          <w:szCs w:val="24"/>
        </w:rPr>
      </w:pPr>
      <w:r w:rsidRPr="001A211C">
        <w:rPr>
          <w:rFonts w:cs="Times New Roman"/>
          <w:color w:val="000000"/>
          <w:szCs w:val="24"/>
          <w:shd w:val="clear" w:color="auto" w:fill="FFFFFF"/>
        </w:rPr>
        <w:t>It is sometimes said that the bigger the government, the smaller the individual. Consistent with the text of the Constitution, the state-action doctrine enforces a critical boundary between the government and the individual, and thereby protects a robust sphere of individual liberty. Expanding the state-action doctrine beyond its traditional boundaries would expand governmental control while restricting individual liberty and private enterprise. We decline to do so in this case.</w:t>
      </w:r>
    </w:p>
    <w:p w14:paraId="2317D7BB" w14:textId="77777777" w:rsidR="009D1FE1" w:rsidRPr="001A211C" w:rsidRDefault="009D1FE1" w:rsidP="009D1FE1">
      <w:pPr>
        <w:autoSpaceDE w:val="0"/>
        <w:autoSpaceDN w:val="0"/>
        <w:adjustRightInd w:val="0"/>
        <w:rPr>
          <w:rFonts w:cs="Times New Roman"/>
          <w:szCs w:val="24"/>
        </w:rPr>
      </w:pPr>
      <w:r w:rsidRPr="001A211C">
        <w:rPr>
          <w:rFonts w:cs="Times New Roman"/>
          <w:szCs w:val="24"/>
        </w:rPr>
        <w:tab/>
        <w:t xml:space="preserve">Justice Sotomayor, joined by Ginsburg, Breyer, and Kagan, dissented: “The Court tells a very reasonable story about a case that is not before us. I write to address the one that is. This is a case about an organization appointed by the government to administer a constitutional public forum. (It is not, as the Court suggests, about a private property owner that simply opened up its property to others.)” The dissent contended that since the channel was created pursuant to a statutory mandate, it was created as a “public forum.” The dissent contended that since it was </w:t>
      </w:r>
      <w:r w:rsidRPr="001A211C">
        <w:rPr>
          <w:rFonts w:cs="Times New Roman"/>
          <w:szCs w:val="24"/>
        </w:rPr>
        <w:lastRenderedPageBreak/>
        <w:t>fulfilling a mandatory public obligation, it had to be considered a public actor for purposes of state action. Justice Sotomayor concluded:</w:t>
      </w:r>
    </w:p>
    <w:p w14:paraId="64BBDE99" w14:textId="77777777" w:rsidR="009D1FE1" w:rsidRPr="001A211C" w:rsidRDefault="009D1FE1" w:rsidP="009D1FE1">
      <w:pPr>
        <w:ind w:left="720"/>
        <w:rPr>
          <w:rFonts w:cs="Times New Roman"/>
          <w:szCs w:val="24"/>
        </w:rPr>
      </w:pPr>
      <w:r w:rsidRPr="001A211C">
        <w:rPr>
          <w:rFonts w:cs="Times New Roman"/>
          <w:szCs w:val="24"/>
        </w:rPr>
        <w:t xml:space="preserve">This is not a case about bigger governments and smaller individuals; it is a case about principals and agents. New York City </w:t>
      </w:r>
      <w:proofErr w:type="gramStart"/>
      <w:r w:rsidRPr="001A211C">
        <w:rPr>
          <w:rFonts w:cs="Times New Roman"/>
          <w:szCs w:val="24"/>
        </w:rPr>
        <w:t>opened up</w:t>
      </w:r>
      <w:proofErr w:type="gramEnd"/>
      <w:r w:rsidRPr="001A211C">
        <w:rPr>
          <w:rFonts w:cs="Times New Roman"/>
          <w:szCs w:val="24"/>
        </w:rPr>
        <w:t xml:space="preserve"> a public forum on public-access channels in which it has a property interest. It asked MNN to run that public forum, and MNN accepted the job. That makes MNN subject to the First Amendment, just as if the City had decided to run the public forum itself…It is crucial that the Court does not continue to ignore the reality, fully recognized by our precedents, that private actors who have been delegated constitutional responsibilities like this one should be accountable to the Constitution’s demands.</w:t>
      </w:r>
    </w:p>
    <w:p w14:paraId="523A21D1" w14:textId="77777777" w:rsidR="000703D5" w:rsidRPr="00B96CAA" w:rsidRDefault="000703D5" w:rsidP="000703D5">
      <w:pPr>
        <w:rPr>
          <w:rFonts w:cs="Times New Roman"/>
          <w:szCs w:val="24"/>
        </w:rPr>
      </w:pPr>
      <w:bookmarkStart w:id="62" w:name="_GoBack"/>
      <w:bookmarkEnd w:id="62"/>
    </w:p>
    <w:sectPr w:rsidR="000703D5" w:rsidRPr="00B96CAA" w:rsidSect="005C6001">
      <w:footerReference w:type="first" r:id="rId10"/>
      <w:footnotePr>
        <w:numRestart w:val="eachSect"/>
      </w:footnotePr>
      <w:pgSz w:w="12240" w:h="15840" w:code="1"/>
      <w:pgMar w:top="1440" w:right="1440" w:bottom="1440" w:left="1440" w:header="720" w:footer="432"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AD3B61" w14:textId="77777777" w:rsidR="006D05F3" w:rsidRDefault="006D05F3" w:rsidP="0083363A">
      <w:pPr>
        <w:spacing w:after="0" w:line="240" w:lineRule="auto"/>
      </w:pPr>
      <w:r>
        <w:separator/>
      </w:r>
    </w:p>
  </w:endnote>
  <w:endnote w:type="continuationSeparator" w:id="0">
    <w:p w14:paraId="00650A38" w14:textId="77777777" w:rsidR="006D05F3" w:rsidRDefault="006D05F3" w:rsidP="008336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20002A87" w:usb1="00000000"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2414744"/>
      <w:docPartObj>
        <w:docPartGallery w:val="Page Numbers (Bottom of Page)"/>
        <w:docPartUnique/>
      </w:docPartObj>
    </w:sdtPr>
    <w:sdtEndPr>
      <w:rPr>
        <w:noProof/>
      </w:rPr>
    </w:sdtEndPr>
    <w:sdtContent>
      <w:p w14:paraId="5F9F3B10" w14:textId="0DE3FAF2" w:rsidR="006D05F3" w:rsidRDefault="00BF6EA6">
        <w:pPr>
          <w:pStyle w:val="Footer"/>
          <w:jc w:val="center"/>
        </w:pPr>
      </w:p>
    </w:sdtContent>
  </w:sdt>
  <w:p w14:paraId="339321CE" w14:textId="55F5A475" w:rsidR="006D05F3" w:rsidRDefault="006D05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0CAC84" w14:textId="4B80D01B" w:rsidR="006D05F3" w:rsidRDefault="006D05F3">
    <w:pPr>
      <w:pStyle w:val="Footer"/>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97167657"/>
      <w:docPartObj>
        <w:docPartGallery w:val="Page Numbers (Bottom of Page)"/>
        <w:docPartUnique/>
      </w:docPartObj>
    </w:sdtPr>
    <w:sdtEndPr>
      <w:rPr>
        <w:noProof/>
      </w:rPr>
    </w:sdtEndPr>
    <w:sdtContent>
      <w:p w14:paraId="3BFCE033" w14:textId="65D67D35" w:rsidR="006D05F3" w:rsidRDefault="006D05F3">
        <w:pPr>
          <w:pStyle w:val="Footer"/>
          <w:jc w:val="center"/>
        </w:pPr>
        <w:r>
          <w:fldChar w:fldCharType="begin"/>
        </w:r>
        <w:r>
          <w:instrText xml:space="preserve"> PAGE   \* MERGEFORMAT </w:instrText>
        </w:r>
        <w:r>
          <w:fldChar w:fldCharType="separate"/>
        </w:r>
        <w:r>
          <w:rPr>
            <w:noProof/>
          </w:rPr>
          <w:t>18</w:t>
        </w:r>
        <w:r>
          <w:rPr>
            <w:noProof/>
          </w:rPr>
          <w:fldChar w:fldCharType="end"/>
        </w:r>
      </w:p>
    </w:sdtContent>
  </w:sdt>
  <w:p w14:paraId="6F31D573" w14:textId="77777777" w:rsidR="006D05F3" w:rsidRDefault="006D05F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DC8A7E" w14:textId="08B9DEBD" w:rsidR="006D05F3" w:rsidRDefault="006D05F3">
    <w:pPr>
      <w:pStyle w:val="Footer"/>
    </w:pPr>
    <w:r>
      <w:tab/>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19956F" w14:textId="77777777" w:rsidR="006D05F3" w:rsidRDefault="006D05F3" w:rsidP="0083363A">
      <w:pPr>
        <w:spacing w:after="0" w:line="240" w:lineRule="auto"/>
      </w:pPr>
      <w:r>
        <w:separator/>
      </w:r>
    </w:p>
  </w:footnote>
  <w:footnote w:type="continuationSeparator" w:id="0">
    <w:p w14:paraId="20485171" w14:textId="77777777" w:rsidR="006D05F3" w:rsidRDefault="006D05F3" w:rsidP="008336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31745"/>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363A"/>
    <w:rsid w:val="000234D3"/>
    <w:rsid w:val="00056561"/>
    <w:rsid w:val="00060797"/>
    <w:rsid w:val="000617D7"/>
    <w:rsid w:val="000635BF"/>
    <w:rsid w:val="00063E86"/>
    <w:rsid w:val="00064732"/>
    <w:rsid w:val="00067EBF"/>
    <w:rsid w:val="000703D5"/>
    <w:rsid w:val="00082F78"/>
    <w:rsid w:val="0008391B"/>
    <w:rsid w:val="000A5C19"/>
    <w:rsid w:val="000B464B"/>
    <w:rsid w:val="000B65B6"/>
    <w:rsid w:val="000C5A09"/>
    <w:rsid w:val="000C796D"/>
    <w:rsid w:val="000D56A3"/>
    <w:rsid w:val="000D7352"/>
    <w:rsid w:val="000E5A41"/>
    <w:rsid w:val="000E7DE6"/>
    <w:rsid w:val="000F0939"/>
    <w:rsid w:val="000F1E32"/>
    <w:rsid w:val="000F47FF"/>
    <w:rsid w:val="00102FE9"/>
    <w:rsid w:val="001276F3"/>
    <w:rsid w:val="00152110"/>
    <w:rsid w:val="00171684"/>
    <w:rsid w:val="0018193A"/>
    <w:rsid w:val="001A0F71"/>
    <w:rsid w:val="001B44A0"/>
    <w:rsid w:val="001C757B"/>
    <w:rsid w:val="00207951"/>
    <w:rsid w:val="00210B7D"/>
    <w:rsid w:val="00220039"/>
    <w:rsid w:val="002360C3"/>
    <w:rsid w:val="002508F5"/>
    <w:rsid w:val="0025292F"/>
    <w:rsid w:val="00287E1A"/>
    <w:rsid w:val="00293657"/>
    <w:rsid w:val="002A2916"/>
    <w:rsid w:val="002B4199"/>
    <w:rsid w:val="002C1480"/>
    <w:rsid w:val="002C58BF"/>
    <w:rsid w:val="002E7FFE"/>
    <w:rsid w:val="0033469E"/>
    <w:rsid w:val="00336355"/>
    <w:rsid w:val="0033789C"/>
    <w:rsid w:val="00351F14"/>
    <w:rsid w:val="00384037"/>
    <w:rsid w:val="003A67E5"/>
    <w:rsid w:val="003A769E"/>
    <w:rsid w:val="003C289D"/>
    <w:rsid w:val="003C2FD6"/>
    <w:rsid w:val="003D45A9"/>
    <w:rsid w:val="003D500A"/>
    <w:rsid w:val="0040121F"/>
    <w:rsid w:val="0042724A"/>
    <w:rsid w:val="00433745"/>
    <w:rsid w:val="0045265B"/>
    <w:rsid w:val="00471099"/>
    <w:rsid w:val="004817BA"/>
    <w:rsid w:val="00481A69"/>
    <w:rsid w:val="00485FAC"/>
    <w:rsid w:val="004A1B63"/>
    <w:rsid w:val="004E31B4"/>
    <w:rsid w:val="00503CA1"/>
    <w:rsid w:val="00510F17"/>
    <w:rsid w:val="00513986"/>
    <w:rsid w:val="005231CC"/>
    <w:rsid w:val="00526723"/>
    <w:rsid w:val="0053556C"/>
    <w:rsid w:val="005463FF"/>
    <w:rsid w:val="00563441"/>
    <w:rsid w:val="00570147"/>
    <w:rsid w:val="00572499"/>
    <w:rsid w:val="00580E78"/>
    <w:rsid w:val="005A4782"/>
    <w:rsid w:val="005C6001"/>
    <w:rsid w:val="0063530F"/>
    <w:rsid w:val="00641DCF"/>
    <w:rsid w:val="00666C91"/>
    <w:rsid w:val="00670C36"/>
    <w:rsid w:val="00674713"/>
    <w:rsid w:val="00675288"/>
    <w:rsid w:val="006A0326"/>
    <w:rsid w:val="006B0DB4"/>
    <w:rsid w:val="006C08C8"/>
    <w:rsid w:val="006C5B69"/>
    <w:rsid w:val="006D05F3"/>
    <w:rsid w:val="006D4570"/>
    <w:rsid w:val="006D55B4"/>
    <w:rsid w:val="00700CD4"/>
    <w:rsid w:val="00702AEB"/>
    <w:rsid w:val="007201FD"/>
    <w:rsid w:val="00722D1C"/>
    <w:rsid w:val="007542A0"/>
    <w:rsid w:val="007561E1"/>
    <w:rsid w:val="007837B4"/>
    <w:rsid w:val="007B45D7"/>
    <w:rsid w:val="00811D87"/>
    <w:rsid w:val="0083363A"/>
    <w:rsid w:val="00837FEB"/>
    <w:rsid w:val="00851F2E"/>
    <w:rsid w:val="008A2BCD"/>
    <w:rsid w:val="008C0F94"/>
    <w:rsid w:val="0090558A"/>
    <w:rsid w:val="00907F27"/>
    <w:rsid w:val="00911F07"/>
    <w:rsid w:val="00944A3A"/>
    <w:rsid w:val="00946E21"/>
    <w:rsid w:val="00947D55"/>
    <w:rsid w:val="00951C48"/>
    <w:rsid w:val="00956961"/>
    <w:rsid w:val="00966EEA"/>
    <w:rsid w:val="0097416B"/>
    <w:rsid w:val="0099385F"/>
    <w:rsid w:val="00997126"/>
    <w:rsid w:val="009D1FE1"/>
    <w:rsid w:val="009F3046"/>
    <w:rsid w:val="00A02A1E"/>
    <w:rsid w:val="00A13AD4"/>
    <w:rsid w:val="00A1579B"/>
    <w:rsid w:val="00A204D2"/>
    <w:rsid w:val="00A722E8"/>
    <w:rsid w:val="00A75ACD"/>
    <w:rsid w:val="00A85404"/>
    <w:rsid w:val="00A90123"/>
    <w:rsid w:val="00AA6FAE"/>
    <w:rsid w:val="00AB20C3"/>
    <w:rsid w:val="00AB27EB"/>
    <w:rsid w:val="00AD3311"/>
    <w:rsid w:val="00AE1F24"/>
    <w:rsid w:val="00AE623D"/>
    <w:rsid w:val="00B2050E"/>
    <w:rsid w:val="00B2410F"/>
    <w:rsid w:val="00B269CC"/>
    <w:rsid w:val="00B42F0F"/>
    <w:rsid w:val="00B43D00"/>
    <w:rsid w:val="00B469A6"/>
    <w:rsid w:val="00B76034"/>
    <w:rsid w:val="00B82ACE"/>
    <w:rsid w:val="00B843B5"/>
    <w:rsid w:val="00B93BC5"/>
    <w:rsid w:val="00B96CAA"/>
    <w:rsid w:val="00BA4FC4"/>
    <w:rsid w:val="00BA5A8D"/>
    <w:rsid w:val="00BC5805"/>
    <w:rsid w:val="00BD0DA6"/>
    <w:rsid w:val="00BD6A5C"/>
    <w:rsid w:val="00BF3C31"/>
    <w:rsid w:val="00BF7079"/>
    <w:rsid w:val="00C32887"/>
    <w:rsid w:val="00C3741F"/>
    <w:rsid w:val="00C37DAD"/>
    <w:rsid w:val="00C40F80"/>
    <w:rsid w:val="00C941F9"/>
    <w:rsid w:val="00CB11BA"/>
    <w:rsid w:val="00CB392F"/>
    <w:rsid w:val="00D15C8F"/>
    <w:rsid w:val="00D35E20"/>
    <w:rsid w:val="00D65BDE"/>
    <w:rsid w:val="00D669B7"/>
    <w:rsid w:val="00DB4423"/>
    <w:rsid w:val="00DC584B"/>
    <w:rsid w:val="00DF0B5E"/>
    <w:rsid w:val="00DF0F35"/>
    <w:rsid w:val="00E03CAD"/>
    <w:rsid w:val="00E53E3C"/>
    <w:rsid w:val="00E54CB3"/>
    <w:rsid w:val="00EE603E"/>
    <w:rsid w:val="00EF65C2"/>
    <w:rsid w:val="00EF740E"/>
    <w:rsid w:val="00F0497D"/>
    <w:rsid w:val="00F129D5"/>
    <w:rsid w:val="00F32760"/>
    <w:rsid w:val="00F34E37"/>
    <w:rsid w:val="00F7330D"/>
    <w:rsid w:val="00F8091F"/>
    <w:rsid w:val="00FA2E49"/>
    <w:rsid w:val="00FC00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1745"/>
    <o:shapelayout v:ext="edit">
      <o:idmap v:ext="edit" data="1"/>
    </o:shapelayout>
  </w:shapeDefaults>
  <w:decimalSymbol w:val="."/>
  <w:listSeparator w:val=","/>
  <w14:docId w14:val="0B1CA068"/>
  <w15:docId w15:val="{37514882-4A38-425E-92AA-9609A7F34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3"/>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04D2"/>
    <w:pPr>
      <w:keepNext/>
      <w:keepLines/>
      <w:spacing w:before="480" w:after="0" w:line="240" w:lineRule="auto"/>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811D87"/>
    <w:pPr>
      <w:keepNext/>
      <w:keepLines/>
      <w:spacing w:before="200" w:after="0"/>
      <w:outlineLvl w:val="1"/>
    </w:pPr>
    <w:rPr>
      <w:rFonts w:eastAsiaTheme="majorEastAsia" w:cstheme="majorBidi"/>
      <w:b/>
      <w:bCs/>
      <w:szCs w:val="26"/>
    </w:rPr>
  </w:style>
  <w:style w:type="paragraph" w:styleId="Heading3">
    <w:name w:val="heading 3"/>
    <w:basedOn w:val="Normal"/>
    <w:next w:val="Normal"/>
    <w:link w:val="Heading3Char"/>
    <w:uiPriority w:val="9"/>
    <w:unhideWhenUsed/>
    <w:qFormat/>
    <w:rsid w:val="00811D87"/>
    <w:pPr>
      <w:keepNext/>
      <w:keepLines/>
      <w:spacing w:before="200" w:after="0"/>
      <w:outlineLvl w:val="2"/>
    </w:pPr>
    <w:rPr>
      <w:rFonts w:eastAsiaTheme="majorEastAsia" w:cstheme="majorBidi"/>
      <w:b/>
      <w:bCs/>
    </w:rPr>
  </w:style>
  <w:style w:type="paragraph" w:styleId="Heading4">
    <w:name w:val="heading 4"/>
    <w:basedOn w:val="Normal"/>
    <w:next w:val="Normal"/>
    <w:link w:val="Heading4Char"/>
    <w:uiPriority w:val="9"/>
    <w:qFormat/>
    <w:rsid w:val="00F129D5"/>
    <w:pPr>
      <w:spacing w:after="120" w:line="240" w:lineRule="auto"/>
      <w:jc w:val="center"/>
      <w:outlineLvl w:val="3"/>
    </w:pPr>
    <w:rPr>
      <w:rFonts w:eastAsia="Times New Roman" w:cs="Times New Roman"/>
      <w:b/>
      <w:bCs/>
      <w:szCs w:val="24"/>
    </w:rPr>
  </w:style>
  <w:style w:type="paragraph" w:styleId="Heading5">
    <w:name w:val="heading 5"/>
    <w:basedOn w:val="Normal"/>
    <w:next w:val="Normal"/>
    <w:link w:val="Heading5Char"/>
    <w:uiPriority w:val="9"/>
    <w:qFormat/>
    <w:rsid w:val="00F129D5"/>
    <w:pPr>
      <w:spacing w:before="240" w:after="60" w:line="240" w:lineRule="auto"/>
      <w:outlineLvl w:val="4"/>
    </w:pPr>
    <w:rPr>
      <w:rFonts w:ascii="Cambria" w:eastAsia="MS Mincho" w:hAnsi="Cambria" w:cs="Times New Roman"/>
      <w:b/>
      <w:bCs/>
      <w:i/>
      <w:iCs/>
      <w:sz w:val="26"/>
      <w:szCs w:val="26"/>
    </w:rPr>
  </w:style>
  <w:style w:type="paragraph" w:styleId="Heading6">
    <w:name w:val="heading 6"/>
    <w:basedOn w:val="Normal"/>
    <w:next w:val="Normal"/>
    <w:link w:val="Heading6Char"/>
    <w:uiPriority w:val="9"/>
    <w:qFormat/>
    <w:rsid w:val="00F129D5"/>
    <w:pPr>
      <w:spacing w:before="240" w:after="60" w:line="240" w:lineRule="auto"/>
      <w:outlineLvl w:val="5"/>
    </w:pPr>
    <w:rPr>
      <w:rFonts w:ascii="Cambria" w:eastAsia="MS Mincho" w:hAnsi="Cambria" w:cs="Times New Roman"/>
      <w:b/>
      <w:bCs/>
      <w:sz w:val="22"/>
    </w:rPr>
  </w:style>
  <w:style w:type="paragraph" w:styleId="Heading7">
    <w:name w:val="heading 7"/>
    <w:basedOn w:val="Normal"/>
    <w:next w:val="Normal"/>
    <w:link w:val="Heading7Char"/>
    <w:uiPriority w:val="9"/>
    <w:qFormat/>
    <w:rsid w:val="00F129D5"/>
    <w:pPr>
      <w:spacing w:before="240" w:after="60" w:line="240" w:lineRule="auto"/>
      <w:outlineLvl w:val="6"/>
    </w:pPr>
    <w:rPr>
      <w:rFonts w:ascii="Cambria" w:eastAsia="MS Mincho" w:hAnsi="Cambria"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04D2"/>
    <w:rPr>
      <w:rFonts w:eastAsiaTheme="majorEastAsia" w:cstheme="majorBidi"/>
      <w:b/>
      <w:bCs/>
      <w:szCs w:val="28"/>
    </w:rPr>
  </w:style>
  <w:style w:type="paragraph" w:styleId="Header">
    <w:name w:val="header"/>
    <w:basedOn w:val="Normal"/>
    <w:link w:val="HeaderChar"/>
    <w:uiPriority w:val="99"/>
    <w:unhideWhenUsed/>
    <w:rsid w:val="008336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363A"/>
  </w:style>
  <w:style w:type="paragraph" w:styleId="Footer">
    <w:name w:val="footer"/>
    <w:basedOn w:val="Normal"/>
    <w:link w:val="FooterChar"/>
    <w:uiPriority w:val="99"/>
    <w:unhideWhenUsed/>
    <w:rsid w:val="008336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363A"/>
  </w:style>
  <w:style w:type="character" w:customStyle="1" w:styleId="Heading2Char">
    <w:name w:val="Heading 2 Char"/>
    <w:basedOn w:val="DefaultParagraphFont"/>
    <w:link w:val="Heading2"/>
    <w:uiPriority w:val="9"/>
    <w:rsid w:val="00811D87"/>
    <w:rPr>
      <w:rFonts w:eastAsiaTheme="majorEastAsia" w:cstheme="majorBidi"/>
      <w:b/>
      <w:bCs/>
      <w:szCs w:val="26"/>
    </w:rPr>
  </w:style>
  <w:style w:type="character" w:customStyle="1" w:styleId="Heading3Char">
    <w:name w:val="Heading 3 Char"/>
    <w:basedOn w:val="DefaultParagraphFont"/>
    <w:link w:val="Heading3"/>
    <w:uiPriority w:val="9"/>
    <w:rsid w:val="00811D87"/>
    <w:rPr>
      <w:rFonts w:eastAsiaTheme="majorEastAsia" w:cstheme="majorBidi"/>
      <w:b/>
      <w:bCs/>
    </w:rPr>
  </w:style>
  <w:style w:type="paragraph" w:styleId="TOCHeading">
    <w:name w:val="TOC Heading"/>
    <w:basedOn w:val="Heading1"/>
    <w:next w:val="Normal"/>
    <w:uiPriority w:val="39"/>
    <w:unhideWhenUsed/>
    <w:qFormat/>
    <w:rsid w:val="00811D87"/>
    <w:pPr>
      <w:spacing w:line="276" w:lineRule="auto"/>
      <w:outlineLvl w:val="9"/>
    </w:pPr>
    <w:rPr>
      <w:rFonts w:asciiTheme="majorHAnsi" w:hAnsiTheme="majorHAnsi"/>
      <w:color w:val="365F91" w:themeColor="accent1" w:themeShade="BF"/>
      <w:sz w:val="28"/>
      <w:lang w:eastAsia="ja-JP"/>
    </w:rPr>
  </w:style>
  <w:style w:type="paragraph" w:styleId="TOC1">
    <w:name w:val="toc 1"/>
    <w:basedOn w:val="Normal"/>
    <w:next w:val="Normal"/>
    <w:autoRedefine/>
    <w:uiPriority w:val="39"/>
    <w:unhideWhenUsed/>
    <w:qFormat/>
    <w:rsid w:val="00811D87"/>
    <w:pPr>
      <w:spacing w:after="100"/>
    </w:pPr>
  </w:style>
  <w:style w:type="paragraph" w:styleId="TOC2">
    <w:name w:val="toc 2"/>
    <w:basedOn w:val="Normal"/>
    <w:next w:val="Normal"/>
    <w:autoRedefine/>
    <w:uiPriority w:val="39"/>
    <w:unhideWhenUsed/>
    <w:qFormat/>
    <w:rsid w:val="00811D87"/>
    <w:pPr>
      <w:spacing w:after="100"/>
      <w:ind w:left="240"/>
    </w:pPr>
  </w:style>
  <w:style w:type="paragraph" w:styleId="TOC3">
    <w:name w:val="toc 3"/>
    <w:basedOn w:val="Normal"/>
    <w:next w:val="Normal"/>
    <w:autoRedefine/>
    <w:uiPriority w:val="39"/>
    <w:unhideWhenUsed/>
    <w:qFormat/>
    <w:rsid w:val="00B469A6"/>
    <w:pPr>
      <w:tabs>
        <w:tab w:val="right" w:leader="dot" w:pos="9350"/>
      </w:tabs>
      <w:spacing w:after="100"/>
      <w:ind w:left="480"/>
    </w:pPr>
    <w:rPr>
      <w:noProof/>
    </w:rPr>
  </w:style>
  <w:style w:type="character" w:styleId="Hyperlink">
    <w:name w:val="Hyperlink"/>
    <w:basedOn w:val="DefaultParagraphFont"/>
    <w:uiPriority w:val="99"/>
    <w:unhideWhenUsed/>
    <w:rsid w:val="00811D87"/>
    <w:rPr>
      <w:color w:val="0000FF" w:themeColor="hyperlink"/>
      <w:u w:val="single"/>
    </w:rPr>
  </w:style>
  <w:style w:type="paragraph" w:styleId="BalloonText">
    <w:name w:val="Balloon Text"/>
    <w:basedOn w:val="Normal"/>
    <w:link w:val="BalloonTextChar"/>
    <w:uiPriority w:val="99"/>
    <w:semiHidden/>
    <w:unhideWhenUsed/>
    <w:rsid w:val="00811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1D87"/>
    <w:rPr>
      <w:rFonts w:ascii="Tahoma" w:hAnsi="Tahoma" w:cs="Tahoma"/>
      <w:sz w:val="16"/>
      <w:szCs w:val="16"/>
    </w:rPr>
  </w:style>
  <w:style w:type="character" w:customStyle="1" w:styleId="Heading4Char">
    <w:name w:val="Heading 4 Char"/>
    <w:basedOn w:val="DefaultParagraphFont"/>
    <w:link w:val="Heading4"/>
    <w:uiPriority w:val="9"/>
    <w:rsid w:val="00F129D5"/>
    <w:rPr>
      <w:rFonts w:eastAsia="Times New Roman" w:cs="Times New Roman"/>
      <w:b/>
      <w:bCs/>
      <w:szCs w:val="24"/>
    </w:rPr>
  </w:style>
  <w:style w:type="character" w:customStyle="1" w:styleId="Heading5Char">
    <w:name w:val="Heading 5 Char"/>
    <w:basedOn w:val="DefaultParagraphFont"/>
    <w:link w:val="Heading5"/>
    <w:uiPriority w:val="9"/>
    <w:rsid w:val="00F129D5"/>
    <w:rPr>
      <w:rFonts w:ascii="Cambria" w:eastAsia="MS Mincho" w:hAnsi="Cambria" w:cs="Times New Roman"/>
      <w:b/>
      <w:bCs/>
      <w:i/>
      <w:iCs/>
      <w:sz w:val="26"/>
      <w:szCs w:val="26"/>
    </w:rPr>
  </w:style>
  <w:style w:type="character" w:customStyle="1" w:styleId="Heading6Char">
    <w:name w:val="Heading 6 Char"/>
    <w:basedOn w:val="DefaultParagraphFont"/>
    <w:link w:val="Heading6"/>
    <w:uiPriority w:val="9"/>
    <w:rsid w:val="00F129D5"/>
    <w:rPr>
      <w:rFonts w:ascii="Cambria" w:eastAsia="MS Mincho" w:hAnsi="Cambria" w:cs="Times New Roman"/>
      <w:b/>
      <w:bCs/>
      <w:sz w:val="22"/>
    </w:rPr>
  </w:style>
  <w:style w:type="character" w:customStyle="1" w:styleId="Heading7Char">
    <w:name w:val="Heading 7 Char"/>
    <w:basedOn w:val="DefaultParagraphFont"/>
    <w:link w:val="Heading7"/>
    <w:uiPriority w:val="9"/>
    <w:rsid w:val="00F129D5"/>
    <w:rPr>
      <w:rFonts w:ascii="Cambria" w:eastAsia="MS Mincho" w:hAnsi="Cambria" w:cs="Times New Roman"/>
      <w:szCs w:val="24"/>
    </w:rPr>
  </w:style>
  <w:style w:type="paragraph" w:customStyle="1" w:styleId="LawSchool">
    <w:name w:val="Law School"/>
    <w:basedOn w:val="MediumGrid21"/>
    <w:qFormat/>
    <w:rsid w:val="00F129D5"/>
    <w:rPr>
      <w:rFonts w:ascii="Times New Roman" w:hAnsi="Times New Roman"/>
      <w:sz w:val="24"/>
    </w:rPr>
  </w:style>
  <w:style w:type="paragraph" w:customStyle="1" w:styleId="MediumGrid21">
    <w:name w:val="Medium Grid 21"/>
    <w:uiPriority w:val="1"/>
    <w:qFormat/>
    <w:rsid w:val="00F129D5"/>
    <w:pPr>
      <w:spacing w:after="0" w:line="240" w:lineRule="auto"/>
      <w:ind w:firstLine="216"/>
    </w:pPr>
    <w:rPr>
      <w:rFonts w:ascii="Calibri" w:eastAsia="Calibri" w:hAnsi="Calibri" w:cs="Times New Roman"/>
      <w:sz w:val="22"/>
    </w:rPr>
  </w:style>
  <w:style w:type="paragraph" w:styleId="FootnoteText">
    <w:name w:val="footnote text"/>
    <w:basedOn w:val="Normal"/>
    <w:link w:val="FootnoteTextChar"/>
    <w:uiPriority w:val="99"/>
    <w:unhideWhenUsed/>
    <w:rsid w:val="00F129D5"/>
    <w:pPr>
      <w:ind w:firstLine="216"/>
    </w:pPr>
    <w:rPr>
      <w:rFonts w:ascii="Calibri" w:eastAsia="Times New Roman" w:hAnsi="Calibri" w:cs="Times New Roman"/>
      <w:sz w:val="20"/>
      <w:szCs w:val="20"/>
      <w:lang w:val="x-none" w:eastAsia="x-none"/>
    </w:rPr>
  </w:style>
  <w:style w:type="character" w:customStyle="1" w:styleId="FootnoteTextChar">
    <w:name w:val="Footnote Text Char"/>
    <w:basedOn w:val="DefaultParagraphFont"/>
    <w:link w:val="FootnoteText"/>
    <w:uiPriority w:val="99"/>
    <w:rsid w:val="00F129D5"/>
    <w:rPr>
      <w:rFonts w:ascii="Calibri" w:eastAsia="Times New Roman" w:hAnsi="Calibri" w:cs="Times New Roman"/>
      <w:sz w:val="20"/>
      <w:szCs w:val="20"/>
      <w:lang w:val="x-none" w:eastAsia="x-none"/>
    </w:rPr>
  </w:style>
  <w:style w:type="character" w:styleId="FootnoteReference">
    <w:name w:val="footnote reference"/>
    <w:uiPriority w:val="99"/>
    <w:unhideWhenUsed/>
    <w:rsid w:val="00F129D5"/>
    <w:rPr>
      <w:rFonts w:cs="Times New Roman"/>
      <w:vertAlign w:val="superscript"/>
    </w:rPr>
  </w:style>
  <w:style w:type="paragraph" w:customStyle="1" w:styleId="CM15">
    <w:name w:val="CM15"/>
    <w:basedOn w:val="Normal"/>
    <w:next w:val="Normal"/>
    <w:uiPriority w:val="99"/>
    <w:rsid w:val="00F129D5"/>
    <w:pPr>
      <w:autoSpaceDE w:val="0"/>
      <w:autoSpaceDN w:val="0"/>
      <w:adjustRightInd w:val="0"/>
      <w:spacing w:after="0" w:line="266" w:lineRule="atLeast"/>
    </w:pPr>
    <w:rPr>
      <w:rFonts w:ascii="Century Schoolbook" w:eastAsia="Times New Roman" w:hAnsi="Century Schoolbook" w:cs="Times New Roman"/>
      <w:szCs w:val="24"/>
    </w:rPr>
  </w:style>
  <w:style w:type="paragraph" w:customStyle="1" w:styleId="CM13">
    <w:name w:val="CM13"/>
    <w:basedOn w:val="Normal"/>
    <w:uiPriority w:val="99"/>
    <w:rsid w:val="00F129D5"/>
    <w:pPr>
      <w:widowControl w:val="0"/>
      <w:autoSpaceDE w:val="0"/>
      <w:autoSpaceDN w:val="0"/>
      <w:adjustRightInd w:val="0"/>
      <w:spacing w:after="0" w:line="240" w:lineRule="auto"/>
      <w:ind w:firstLine="720"/>
    </w:pPr>
    <w:rPr>
      <w:rFonts w:eastAsia="SimSun" w:cs="Times New Roman"/>
      <w:szCs w:val="24"/>
    </w:rPr>
  </w:style>
  <w:style w:type="paragraph" w:customStyle="1" w:styleId="CM8">
    <w:name w:val="CM8"/>
    <w:basedOn w:val="Normal"/>
    <w:next w:val="Normal"/>
    <w:uiPriority w:val="99"/>
    <w:rsid w:val="00F129D5"/>
    <w:pPr>
      <w:autoSpaceDE w:val="0"/>
      <w:autoSpaceDN w:val="0"/>
      <w:adjustRightInd w:val="0"/>
      <w:spacing w:after="0" w:line="266" w:lineRule="atLeast"/>
    </w:pPr>
    <w:rPr>
      <w:rFonts w:ascii="Century Schoolbook" w:eastAsia="Calibri" w:hAnsi="Century Schoolbook" w:cs="Times New Roman"/>
      <w:szCs w:val="24"/>
    </w:rPr>
  </w:style>
  <w:style w:type="paragraph" w:customStyle="1" w:styleId="Default">
    <w:name w:val="Default"/>
    <w:rsid w:val="00F129D5"/>
    <w:pPr>
      <w:autoSpaceDE w:val="0"/>
      <w:autoSpaceDN w:val="0"/>
      <w:adjustRightInd w:val="0"/>
      <w:spacing w:after="0" w:line="240" w:lineRule="auto"/>
    </w:pPr>
    <w:rPr>
      <w:rFonts w:ascii="Century Schoolbook" w:eastAsia="Calibri" w:hAnsi="Century Schoolbook" w:cs="Century Schoolbook"/>
      <w:color w:val="000000"/>
      <w:szCs w:val="24"/>
    </w:rPr>
  </w:style>
  <w:style w:type="paragraph" w:customStyle="1" w:styleId="CM3">
    <w:name w:val="CM3"/>
    <w:basedOn w:val="Default"/>
    <w:next w:val="Default"/>
    <w:uiPriority w:val="99"/>
    <w:rsid w:val="00F129D5"/>
    <w:pPr>
      <w:spacing w:line="266" w:lineRule="atLeast"/>
    </w:pPr>
    <w:rPr>
      <w:rFonts w:cs="Times New Roman"/>
      <w:color w:val="auto"/>
    </w:rPr>
  </w:style>
  <w:style w:type="paragraph" w:customStyle="1" w:styleId="ColorfulList-Accent11">
    <w:name w:val="Colorful List - Accent 11"/>
    <w:basedOn w:val="Normal"/>
    <w:uiPriority w:val="34"/>
    <w:qFormat/>
    <w:rsid w:val="00F129D5"/>
    <w:pPr>
      <w:spacing w:after="0" w:line="240" w:lineRule="auto"/>
      <w:ind w:left="720"/>
      <w:contextualSpacing/>
    </w:pPr>
    <w:rPr>
      <w:rFonts w:eastAsia="Times New Roman" w:cs="Times New Roman"/>
      <w:szCs w:val="20"/>
    </w:rPr>
  </w:style>
  <w:style w:type="character" w:customStyle="1" w:styleId="apple-converted-space">
    <w:name w:val="apple-converted-space"/>
    <w:rsid w:val="00F129D5"/>
  </w:style>
  <w:style w:type="character" w:styleId="PageNumber">
    <w:name w:val="page number"/>
    <w:uiPriority w:val="99"/>
    <w:semiHidden/>
    <w:unhideWhenUsed/>
    <w:rsid w:val="00F129D5"/>
  </w:style>
  <w:style w:type="paragraph" w:customStyle="1" w:styleId="ColorfulShading-Accent11">
    <w:name w:val="Colorful Shading - Accent 11"/>
    <w:hidden/>
    <w:uiPriority w:val="71"/>
    <w:rsid w:val="00F129D5"/>
    <w:pPr>
      <w:spacing w:after="0" w:line="240" w:lineRule="auto"/>
    </w:pPr>
    <w:rPr>
      <w:rFonts w:eastAsia="Times New Roman" w:cs="Times New Roman"/>
      <w:szCs w:val="20"/>
    </w:rPr>
  </w:style>
  <w:style w:type="character" w:customStyle="1" w:styleId="cosearchdetaillevel1">
    <w:name w:val="co_search_detaillevel_1"/>
    <w:rsid w:val="00F129D5"/>
  </w:style>
  <w:style w:type="paragraph" w:styleId="TOC4">
    <w:name w:val="toc 4"/>
    <w:basedOn w:val="Normal"/>
    <w:next w:val="Normal"/>
    <w:autoRedefine/>
    <w:uiPriority w:val="39"/>
    <w:unhideWhenUsed/>
    <w:qFormat/>
    <w:rsid w:val="00F129D5"/>
    <w:pPr>
      <w:spacing w:after="0" w:line="240" w:lineRule="auto"/>
      <w:ind w:left="720"/>
    </w:pPr>
    <w:rPr>
      <w:rFonts w:ascii="Cambria" w:eastAsia="Times New Roman" w:hAnsi="Cambria" w:cs="Times New Roman"/>
      <w:sz w:val="18"/>
      <w:szCs w:val="18"/>
    </w:rPr>
  </w:style>
  <w:style w:type="paragraph" w:styleId="TOC5">
    <w:name w:val="toc 5"/>
    <w:basedOn w:val="Normal"/>
    <w:next w:val="Normal"/>
    <w:autoRedefine/>
    <w:uiPriority w:val="39"/>
    <w:unhideWhenUsed/>
    <w:rsid w:val="00F129D5"/>
    <w:pPr>
      <w:spacing w:after="0" w:line="240" w:lineRule="auto"/>
      <w:ind w:left="960"/>
    </w:pPr>
    <w:rPr>
      <w:rFonts w:ascii="Cambria" w:eastAsia="Times New Roman" w:hAnsi="Cambria" w:cs="Times New Roman"/>
      <w:sz w:val="18"/>
      <w:szCs w:val="18"/>
    </w:rPr>
  </w:style>
  <w:style w:type="paragraph" w:styleId="TOC6">
    <w:name w:val="toc 6"/>
    <w:basedOn w:val="Normal"/>
    <w:next w:val="Normal"/>
    <w:autoRedefine/>
    <w:uiPriority w:val="39"/>
    <w:unhideWhenUsed/>
    <w:rsid w:val="00F129D5"/>
    <w:pPr>
      <w:spacing w:after="0" w:line="240" w:lineRule="auto"/>
      <w:ind w:left="1200"/>
    </w:pPr>
    <w:rPr>
      <w:rFonts w:ascii="Cambria" w:eastAsia="Times New Roman" w:hAnsi="Cambria" w:cs="Times New Roman"/>
      <w:sz w:val="18"/>
      <w:szCs w:val="18"/>
    </w:rPr>
  </w:style>
  <w:style w:type="paragraph" w:styleId="TOC7">
    <w:name w:val="toc 7"/>
    <w:basedOn w:val="Normal"/>
    <w:next w:val="Normal"/>
    <w:autoRedefine/>
    <w:uiPriority w:val="39"/>
    <w:unhideWhenUsed/>
    <w:rsid w:val="00F129D5"/>
    <w:pPr>
      <w:spacing w:after="0" w:line="240" w:lineRule="auto"/>
      <w:ind w:left="1440"/>
    </w:pPr>
    <w:rPr>
      <w:rFonts w:ascii="Cambria" w:eastAsia="Times New Roman" w:hAnsi="Cambria" w:cs="Times New Roman"/>
      <w:sz w:val="18"/>
      <w:szCs w:val="18"/>
    </w:rPr>
  </w:style>
  <w:style w:type="paragraph" w:styleId="TOC8">
    <w:name w:val="toc 8"/>
    <w:basedOn w:val="Normal"/>
    <w:next w:val="Normal"/>
    <w:autoRedefine/>
    <w:uiPriority w:val="39"/>
    <w:unhideWhenUsed/>
    <w:rsid w:val="00F129D5"/>
    <w:pPr>
      <w:spacing w:after="0" w:line="240" w:lineRule="auto"/>
      <w:ind w:left="1680"/>
    </w:pPr>
    <w:rPr>
      <w:rFonts w:ascii="Cambria" w:eastAsia="Times New Roman" w:hAnsi="Cambria" w:cs="Times New Roman"/>
      <w:sz w:val="18"/>
      <w:szCs w:val="18"/>
    </w:rPr>
  </w:style>
  <w:style w:type="paragraph" w:styleId="TOC9">
    <w:name w:val="toc 9"/>
    <w:basedOn w:val="Normal"/>
    <w:next w:val="Normal"/>
    <w:autoRedefine/>
    <w:uiPriority w:val="39"/>
    <w:unhideWhenUsed/>
    <w:rsid w:val="00F129D5"/>
    <w:pPr>
      <w:spacing w:after="0" w:line="240" w:lineRule="auto"/>
      <w:ind w:left="1920"/>
    </w:pPr>
    <w:rPr>
      <w:rFonts w:ascii="Cambria" w:eastAsia="Times New Roman" w:hAnsi="Cambria" w:cs="Times New Roman"/>
      <w:sz w:val="18"/>
      <w:szCs w:val="18"/>
    </w:rPr>
  </w:style>
  <w:style w:type="paragraph" w:customStyle="1" w:styleId="he">
    <w:name w:val="he"/>
    <w:basedOn w:val="Default"/>
    <w:rsid w:val="00F129D5"/>
    <w:pPr>
      <w:jc w:val="center"/>
    </w:pPr>
    <w:rPr>
      <w:rFonts w:ascii="Times New Roman" w:hAnsi="Times New Roman" w:cs="Times New Roman"/>
      <w:b/>
      <w:color w:val="auto"/>
    </w:rPr>
  </w:style>
  <w:style w:type="paragraph" w:styleId="NormalWeb">
    <w:name w:val="Normal (Web)"/>
    <w:basedOn w:val="Normal"/>
    <w:uiPriority w:val="99"/>
    <w:unhideWhenUsed/>
    <w:rsid w:val="00F129D5"/>
    <w:pPr>
      <w:spacing w:before="100" w:beforeAutospacing="1" w:after="100" w:afterAutospacing="1" w:line="240" w:lineRule="auto"/>
    </w:pPr>
    <w:rPr>
      <w:rFonts w:ascii="Times" w:eastAsiaTheme="minorEastAsia" w:hAnsi="Times" w:cs="Times New Roman"/>
      <w:sz w:val="20"/>
      <w:szCs w:val="20"/>
    </w:rPr>
  </w:style>
  <w:style w:type="paragraph" w:styleId="NoSpacing">
    <w:name w:val="No Spacing"/>
    <w:uiPriority w:val="1"/>
    <w:qFormat/>
    <w:rsid w:val="00F129D5"/>
    <w:pPr>
      <w:spacing w:after="0" w:line="240" w:lineRule="auto"/>
    </w:pPr>
    <w:rPr>
      <w:rFonts w:eastAsia="Times New Roman" w:cs="Times New Roman"/>
      <w:szCs w:val="20"/>
    </w:rPr>
  </w:style>
  <w:style w:type="paragraph" w:styleId="Revision">
    <w:name w:val="Revision"/>
    <w:hidden/>
    <w:uiPriority w:val="99"/>
    <w:rsid w:val="00F129D5"/>
    <w:pPr>
      <w:spacing w:after="0" w:line="240" w:lineRule="auto"/>
    </w:pPr>
    <w:rPr>
      <w:rFonts w:eastAsia="Times New Roman" w:cs="Times New Roman"/>
      <w:szCs w:val="20"/>
    </w:rPr>
  </w:style>
  <w:style w:type="character" w:styleId="CommentReference">
    <w:name w:val="annotation reference"/>
    <w:uiPriority w:val="99"/>
    <w:semiHidden/>
    <w:unhideWhenUsed/>
    <w:rsid w:val="00F129D5"/>
    <w:rPr>
      <w:sz w:val="18"/>
      <w:szCs w:val="18"/>
    </w:rPr>
  </w:style>
  <w:style w:type="paragraph" w:styleId="CommentText">
    <w:name w:val="annotation text"/>
    <w:basedOn w:val="Normal"/>
    <w:link w:val="CommentTextChar"/>
    <w:uiPriority w:val="99"/>
    <w:semiHidden/>
    <w:unhideWhenUsed/>
    <w:rsid w:val="00F129D5"/>
    <w:pPr>
      <w:spacing w:after="0" w:line="240" w:lineRule="auto"/>
    </w:pPr>
    <w:rPr>
      <w:rFonts w:eastAsia="Times New Roman" w:cs="Times New Roman"/>
      <w:szCs w:val="24"/>
    </w:rPr>
  </w:style>
  <w:style w:type="character" w:customStyle="1" w:styleId="CommentTextChar">
    <w:name w:val="Comment Text Char"/>
    <w:basedOn w:val="DefaultParagraphFont"/>
    <w:link w:val="CommentText"/>
    <w:uiPriority w:val="99"/>
    <w:semiHidden/>
    <w:rsid w:val="00F129D5"/>
    <w:rPr>
      <w:rFonts w:eastAsia="Times New Roman" w:cs="Times New Roman"/>
      <w:szCs w:val="24"/>
    </w:rPr>
  </w:style>
  <w:style w:type="paragraph" w:styleId="CommentSubject">
    <w:name w:val="annotation subject"/>
    <w:basedOn w:val="CommentText"/>
    <w:next w:val="CommentText"/>
    <w:link w:val="CommentSubjectChar"/>
    <w:uiPriority w:val="99"/>
    <w:semiHidden/>
    <w:unhideWhenUsed/>
    <w:rsid w:val="00F129D5"/>
    <w:rPr>
      <w:b/>
      <w:bCs/>
      <w:sz w:val="20"/>
      <w:szCs w:val="20"/>
    </w:rPr>
  </w:style>
  <w:style w:type="character" w:customStyle="1" w:styleId="CommentSubjectChar">
    <w:name w:val="Comment Subject Char"/>
    <w:basedOn w:val="CommentTextChar"/>
    <w:link w:val="CommentSubject"/>
    <w:uiPriority w:val="99"/>
    <w:semiHidden/>
    <w:rsid w:val="00F129D5"/>
    <w:rPr>
      <w:rFonts w:eastAsia="Times New Roman" w:cs="Times New Roman"/>
      <w:b/>
      <w:bCs/>
      <w:sz w:val="20"/>
      <w:szCs w:val="20"/>
    </w:rPr>
  </w:style>
  <w:style w:type="paragraph" w:styleId="ListParagraph">
    <w:name w:val="List Paragraph"/>
    <w:basedOn w:val="Normal"/>
    <w:uiPriority w:val="34"/>
    <w:qFormat/>
    <w:rsid w:val="00F129D5"/>
    <w:pPr>
      <w:spacing w:after="0" w:line="240" w:lineRule="auto"/>
      <w:ind w:left="720"/>
      <w:contextualSpacing/>
    </w:pPr>
    <w:rPr>
      <w:rFonts w:eastAsia="Times New Roman" w:cs="Times New Roman"/>
      <w:szCs w:val="20"/>
    </w:rPr>
  </w:style>
  <w:style w:type="paragraph" w:styleId="BodyText">
    <w:name w:val="Body Text"/>
    <w:basedOn w:val="Normal"/>
    <w:link w:val="BodyTextChar"/>
    <w:uiPriority w:val="1"/>
    <w:qFormat/>
    <w:rsid w:val="00F129D5"/>
    <w:pPr>
      <w:widowControl w:val="0"/>
      <w:spacing w:after="0" w:line="240" w:lineRule="auto"/>
      <w:ind w:left="1404"/>
    </w:pPr>
    <w:rPr>
      <w:rFonts w:ascii="Century Schoolbook" w:eastAsia="Century Schoolbook" w:hAnsi="Century Schoolbook" w:cs="Times New Roman"/>
      <w:sz w:val="22"/>
    </w:rPr>
  </w:style>
  <w:style w:type="character" w:customStyle="1" w:styleId="BodyTextChar">
    <w:name w:val="Body Text Char"/>
    <w:basedOn w:val="DefaultParagraphFont"/>
    <w:link w:val="BodyText"/>
    <w:uiPriority w:val="1"/>
    <w:rsid w:val="00F129D5"/>
    <w:rPr>
      <w:rFonts w:ascii="Century Schoolbook" w:eastAsia="Century Schoolbook" w:hAnsi="Century Schoolbook" w:cs="Times New Roman"/>
      <w:sz w:val="22"/>
    </w:rPr>
  </w:style>
  <w:style w:type="paragraph" w:customStyle="1" w:styleId="TableParagraph">
    <w:name w:val="Table Paragraph"/>
    <w:basedOn w:val="Normal"/>
    <w:uiPriority w:val="1"/>
    <w:qFormat/>
    <w:rsid w:val="00F129D5"/>
    <w:pPr>
      <w:widowControl w:val="0"/>
      <w:spacing w:after="0" w:line="240" w:lineRule="auto"/>
    </w:pPr>
    <w:rPr>
      <w:rFonts w:ascii="Cambria" w:eastAsia="Cambria" w:hAnsi="Cambria" w:cs="Times New Roman"/>
      <w:sz w:val="22"/>
    </w:rPr>
  </w:style>
  <w:style w:type="character" w:customStyle="1" w:styleId="cosearchterm">
    <w:name w:val="co_searchterm"/>
    <w:basedOn w:val="DefaultParagraphFont"/>
    <w:rsid w:val="00F129D5"/>
  </w:style>
  <w:style w:type="character" w:customStyle="1" w:styleId="cwcot">
    <w:name w:val="cwcot"/>
    <w:basedOn w:val="DefaultParagraphFont"/>
    <w:rsid w:val="00F129D5"/>
  </w:style>
  <w:style w:type="character" w:customStyle="1" w:styleId="cwbts">
    <w:name w:val="cwbts"/>
    <w:basedOn w:val="DefaultParagraphFont"/>
    <w:rsid w:val="00F129D5"/>
  </w:style>
  <w:style w:type="character" w:styleId="FollowedHyperlink">
    <w:name w:val="FollowedHyperlink"/>
    <w:basedOn w:val="DefaultParagraphFont"/>
    <w:uiPriority w:val="99"/>
    <w:semiHidden/>
    <w:unhideWhenUsed/>
    <w:rsid w:val="00F129D5"/>
    <w:rPr>
      <w:color w:val="800080" w:themeColor="followedHyperlink"/>
      <w:u w:val="single"/>
    </w:rPr>
  </w:style>
  <w:style w:type="table" w:styleId="MediumGrid2">
    <w:name w:val="Medium Grid 2"/>
    <w:basedOn w:val="TableNormal"/>
    <w:uiPriority w:val="63"/>
    <w:rsid w:val="00F129D5"/>
    <w:pPr>
      <w:spacing w:after="0" w:line="240" w:lineRule="auto"/>
    </w:pPr>
    <w:rPr>
      <w:rFonts w:ascii="Calibri" w:eastAsia="MS Gothic" w:hAnsi="Calibri" w:cs="Times New Roman"/>
      <w:color w:val="000000"/>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styleId="Emphasis">
    <w:name w:val="Emphasis"/>
    <w:basedOn w:val="DefaultParagraphFont"/>
    <w:uiPriority w:val="20"/>
    <w:qFormat/>
    <w:rsid w:val="00F129D5"/>
    <w:rPr>
      <w:i/>
      <w:iCs/>
    </w:rPr>
  </w:style>
  <w:style w:type="numbering" w:customStyle="1" w:styleId="NoList1">
    <w:name w:val="No List1"/>
    <w:next w:val="NoList"/>
    <w:uiPriority w:val="99"/>
    <w:semiHidden/>
    <w:unhideWhenUsed/>
    <w:rsid w:val="00911F07"/>
  </w:style>
  <w:style w:type="character" w:customStyle="1" w:styleId="UnresolvedMention1">
    <w:name w:val="Unresolved Mention1"/>
    <w:basedOn w:val="DefaultParagraphFont"/>
    <w:uiPriority w:val="99"/>
    <w:semiHidden/>
    <w:unhideWhenUsed/>
    <w:rsid w:val="00911F0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F7ADC2-C58F-49EB-B9D2-8AFBA63BF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92</Pages>
  <Words>38237</Words>
  <Characters>217952</Characters>
  <Application>Microsoft Office Word</Application>
  <DocSecurity>0</DocSecurity>
  <Lines>1816</Lines>
  <Paragraphs>511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Wilson</dc:creator>
  <cp:keywords/>
  <dc:description/>
  <cp:lastModifiedBy>Wilson Parker</cp:lastModifiedBy>
  <cp:revision>2</cp:revision>
  <cp:lastPrinted>2018-08-13T20:20:00Z</cp:lastPrinted>
  <dcterms:created xsi:type="dcterms:W3CDTF">2020-02-08T21:01:00Z</dcterms:created>
  <dcterms:modified xsi:type="dcterms:W3CDTF">2020-02-08T21:01:00Z</dcterms:modified>
</cp:coreProperties>
</file>