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7FF8" w:rsidRPr="00FE7FF8" w:rsidRDefault="00FE7FF8" w:rsidP="00FE7FF8">
      <w:pPr>
        <w:spacing w:after="0" w:line="240" w:lineRule="auto"/>
        <w:ind w:firstLine="720"/>
        <w:jc w:val="both"/>
        <w:rPr>
          <w:rFonts w:ascii="Times New Roman" w:eastAsia="Times New Roman" w:hAnsi="Times New Roman" w:cs="Times New Roman"/>
          <w:sz w:val="24"/>
          <w:szCs w:val="24"/>
        </w:rPr>
      </w:pPr>
      <w:r w:rsidRPr="00FE7FF8">
        <w:rPr>
          <w:rFonts w:ascii="Times New Roman" w:eastAsia="Times New Roman" w:hAnsi="Times New Roman" w:cs="Times New Roman"/>
          <w:b/>
          <w:bCs/>
          <w:color w:val="000000"/>
          <w:sz w:val="24"/>
          <w:szCs w:val="24"/>
        </w:rPr>
        <w:t>World Trade Organization and the North American Free Trade Agreement</w:t>
      </w:r>
    </w:p>
    <w:p w:rsidR="00FE7FF8" w:rsidRPr="00FE7FF8" w:rsidRDefault="00FE7FF8" w:rsidP="00FE7FF8">
      <w:pPr>
        <w:spacing w:after="0" w:line="240" w:lineRule="auto"/>
        <w:ind w:firstLine="720"/>
        <w:jc w:val="both"/>
        <w:rPr>
          <w:rFonts w:ascii="Times New Roman" w:eastAsia="Times New Roman" w:hAnsi="Times New Roman" w:cs="Times New Roman"/>
          <w:sz w:val="24"/>
          <w:szCs w:val="24"/>
        </w:rPr>
      </w:pPr>
      <w:r w:rsidRPr="00FE7FF8">
        <w:rPr>
          <w:rFonts w:ascii="Times New Roman" w:eastAsia="Times New Roman" w:hAnsi="Times New Roman" w:cs="Times New Roman"/>
          <w:color w:val="000000"/>
          <w:sz w:val="24"/>
          <w:szCs w:val="24"/>
        </w:rPr>
        <w:t xml:space="preserve"> by Richard Schneider</w:t>
      </w:r>
    </w:p>
    <w:p w:rsidR="00FE7FF8" w:rsidRPr="00FE7FF8" w:rsidRDefault="00FE7FF8" w:rsidP="00FE7FF8">
      <w:pPr>
        <w:spacing w:after="0" w:line="240" w:lineRule="auto"/>
        <w:ind w:firstLine="720"/>
        <w:jc w:val="both"/>
        <w:rPr>
          <w:rFonts w:ascii="Times New Roman" w:eastAsia="Times New Roman" w:hAnsi="Times New Roman" w:cs="Times New Roman"/>
          <w:sz w:val="24"/>
          <w:szCs w:val="24"/>
        </w:rPr>
      </w:pPr>
      <w:r w:rsidRPr="00FE7FF8">
        <w:rPr>
          <w:rFonts w:ascii="Times New Roman" w:eastAsia="Times New Roman" w:hAnsi="Times New Roman" w:cs="Times New Roman"/>
          <w:color w:val="000000"/>
          <w:sz w:val="24"/>
          <w:szCs w:val="24"/>
        </w:rPr>
        <w:t xml:space="preserve"> Is it strange that a casebook on U.S. constitutional law contains a squib on the World Trade Organization (“WTO”) and the North American Free Trade Agreement (“NAFTA”)? No. Would it be strange for a treatise on German constitutional law or on French constitutional law to contain salient observations on the role of the European Court of Justice and the Treaty Establishing the European Community? </w:t>
      </w:r>
      <w:proofErr w:type="spellStart"/>
      <w:r w:rsidRPr="00FE7FF8">
        <w:rPr>
          <w:rFonts w:ascii="Times New Roman" w:eastAsia="Times New Roman" w:hAnsi="Times New Roman" w:cs="Times New Roman"/>
          <w:color w:val="000000"/>
          <w:sz w:val="24"/>
          <w:szCs w:val="24"/>
        </w:rPr>
        <w:t>No.Would</w:t>
      </w:r>
      <w:proofErr w:type="spellEnd"/>
      <w:r w:rsidRPr="00FE7FF8">
        <w:rPr>
          <w:rFonts w:ascii="Times New Roman" w:eastAsia="Times New Roman" w:hAnsi="Times New Roman" w:cs="Times New Roman"/>
          <w:color w:val="000000"/>
          <w:sz w:val="24"/>
          <w:szCs w:val="24"/>
        </w:rPr>
        <w:t xml:space="preserve"> it be unaccountable for a discussion of U.S. state environmental laws to contain references to possible interactions with federal environmental laws? In each case the answer is no. Why? In each case one body of law contains designs of supremacy over another body of law. One cannot study a body of law and ignore such designs. “We are writing the constitution of a single global economy.” So spoke Renato Ruggiero, the former WTO Director General. It would be irresponsible now for a casebook on American constitutional law to ignore the influence of the WTO and NAFTA on the U.S. constitutional system.</w:t>
      </w:r>
    </w:p>
    <w:p w:rsidR="00FE7FF8" w:rsidRPr="00FE7FF8" w:rsidRDefault="00FE7FF8" w:rsidP="00FE7FF8">
      <w:pPr>
        <w:spacing w:after="0" w:line="240" w:lineRule="auto"/>
        <w:ind w:firstLine="720"/>
        <w:jc w:val="both"/>
        <w:rPr>
          <w:rFonts w:ascii="Times New Roman" w:eastAsia="Times New Roman" w:hAnsi="Times New Roman" w:cs="Times New Roman"/>
          <w:sz w:val="24"/>
          <w:szCs w:val="24"/>
        </w:rPr>
      </w:pPr>
      <w:r w:rsidRPr="00FE7FF8">
        <w:rPr>
          <w:rFonts w:ascii="Times New Roman" w:eastAsia="Times New Roman" w:hAnsi="Times New Roman" w:cs="Times New Roman"/>
          <w:color w:val="000000"/>
          <w:sz w:val="24"/>
          <w:szCs w:val="24"/>
        </w:rPr>
        <w:t xml:space="preserve"> You exist, for the most part, in a world with known legal boundaries. Your actions and the actions of the public bodies that govern your actions are answerable to a closed set of legal determinants: statutory laws, case laws, and, in our case, the U.S. Constitution and the cases decided by the U.S. Supreme Court, all of which have made the text of the Constitution meaningful. This casebook develops the interactions of those legal determinants in the world of constitutional reasoning. Now, suddenly comes the realization— perhaps through a federal or state statute that cannot be applied, although it is not unconstitutional, or through a court decision that cannot be enforced—that there is perhaps another authority that can alter drastically the legal boundaries that you thought you understood. You wake up in an entirely different world that somehow seems much less predictable and perhaps much more rapacious. </w:t>
      </w:r>
    </w:p>
    <w:p w:rsidR="00FE7FF8" w:rsidRPr="00FE7FF8" w:rsidRDefault="00FE7FF8" w:rsidP="00FE7FF8">
      <w:pPr>
        <w:spacing w:after="0" w:line="240" w:lineRule="auto"/>
        <w:ind w:firstLine="720"/>
        <w:jc w:val="both"/>
        <w:rPr>
          <w:rFonts w:ascii="Times New Roman" w:eastAsia="Times New Roman" w:hAnsi="Times New Roman" w:cs="Times New Roman"/>
          <w:sz w:val="24"/>
          <w:szCs w:val="24"/>
        </w:rPr>
      </w:pPr>
      <w:r w:rsidRPr="00FE7FF8">
        <w:rPr>
          <w:rFonts w:ascii="Times New Roman" w:eastAsia="Times New Roman" w:hAnsi="Times New Roman" w:cs="Times New Roman"/>
          <w:color w:val="000000"/>
          <w:sz w:val="24"/>
          <w:szCs w:val="24"/>
        </w:rPr>
        <w:t xml:space="preserve">What is this force that has such power? Call it NAFTA. Call it the WTO. NAFTA became the law of the United States on January 1, 1994. It links Canada, Mexico, and the United States. Thought was given to expanding it in the early 2000s to embrace other Latin American countries in an arrangement to be called the Free Trade Agreement of the Americas (“FTAA”). The World Trade Organization became a part of U.S. law on January 1, 1995, after it also received the support of both houses of Congress and the signature of President Clinton. The WTO, as of July 23, 2008, has 153 member countries and numerous observer countries from all over the world. Both NAFTA and the WTO required implementing legislation passed by Congress. What kinds of laws and court decisions could be affected by the WTO or NAFTA? </w:t>
      </w:r>
    </w:p>
    <w:p w:rsidR="00FE7FF8" w:rsidRPr="00FE7FF8" w:rsidRDefault="00FE7FF8" w:rsidP="00FE7FF8">
      <w:pPr>
        <w:spacing w:after="0" w:line="240" w:lineRule="auto"/>
        <w:ind w:firstLine="720"/>
        <w:jc w:val="both"/>
        <w:rPr>
          <w:rFonts w:ascii="Times New Roman" w:eastAsia="Times New Roman" w:hAnsi="Times New Roman" w:cs="Times New Roman"/>
          <w:sz w:val="24"/>
          <w:szCs w:val="24"/>
        </w:rPr>
      </w:pPr>
      <w:r w:rsidRPr="00FE7FF8">
        <w:rPr>
          <w:rFonts w:ascii="Times New Roman" w:eastAsia="Times New Roman" w:hAnsi="Times New Roman" w:cs="Times New Roman"/>
          <w:color w:val="000000"/>
          <w:sz w:val="24"/>
          <w:szCs w:val="24"/>
        </w:rPr>
        <w:t xml:space="preserve">NAFTA and the WTO establish free trade regimes in goods and numerous services. Countries in each organization agree to accord national treatment and most-favored nation status to such goods and services coming into their territory from other member countries. NAFTA and the WTO are administered by separate institutions and subject to different methods of dispute settlement and adjudication. In each case, however, the integrity of the free trade system is the principal priority of the organizations. Very complicated dispute resolution procedures can be summarized in part as follows. The NAFTA Secretariat administers the dispute settlement provisions that have been agreed upon by Canada, Mexico, and the United States. While consultation is required, final dispute settlement occurs in an arbitration proceeding. Procedures under the WTO also require consultation, but can trigger appointment of a panel of independent experts who make a determination, which can then be appealed to an Appellate Body for a final and binding resolution. Only member countries can bring complaints to the dispute settlement process. In the case of both NAFTA and the WTO, final decisions of their constituent bodies </w:t>
      </w:r>
      <w:r w:rsidRPr="00FE7FF8">
        <w:rPr>
          <w:rFonts w:ascii="Times New Roman" w:eastAsia="Times New Roman" w:hAnsi="Times New Roman" w:cs="Times New Roman"/>
          <w:color w:val="000000"/>
          <w:sz w:val="24"/>
          <w:szCs w:val="24"/>
        </w:rPr>
        <w:lastRenderedPageBreak/>
        <w:t xml:space="preserve">cannot be appealed to member country courts. Finally and importantly, NAFTA contains a separate provision for actions by private investors against a member country. </w:t>
      </w:r>
    </w:p>
    <w:p w:rsidR="00FE7FF8" w:rsidRPr="00FE7FF8" w:rsidRDefault="00FE7FF8" w:rsidP="00FE7FF8">
      <w:pPr>
        <w:spacing w:after="0" w:line="240" w:lineRule="auto"/>
        <w:ind w:firstLine="720"/>
        <w:jc w:val="both"/>
        <w:rPr>
          <w:rFonts w:ascii="Times New Roman" w:eastAsia="Times New Roman" w:hAnsi="Times New Roman" w:cs="Times New Roman"/>
          <w:sz w:val="24"/>
          <w:szCs w:val="24"/>
        </w:rPr>
      </w:pPr>
      <w:r w:rsidRPr="00FE7FF8">
        <w:rPr>
          <w:rFonts w:ascii="Times New Roman" w:eastAsia="Times New Roman" w:hAnsi="Times New Roman" w:cs="Times New Roman"/>
          <w:color w:val="000000"/>
          <w:sz w:val="24"/>
          <w:szCs w:val="24"/>
        </w:rPr>
        <w:t xml:space="preserve">How could these dispute resolution procedures affect the administration and enforcement of otherwise constitutionally adopted U.S. laws and regulations? The following examples, some actual and some hypothetical, illustrate paradigm cases: </w:t>
      </w:r>
    </w:p>
    <w:p w:rsidR="00FE7FF8" w:rsidRPr="00FE7FF8" w:rsidRDefault="00FE7FF8" w:rsidP="00FE7FF8">
      <w:pPr>
        <w:spacing w:after="0" w:line="240" w:lineRule="auto"/>
        <w:ind w:left="720"/>
        <w:jc w:val="both"/>
        <w:rPr>
          <w:rFonts w:ascii="Times New Roman" w:eastAsia="Times New Roman" w:hAnsi="Times New Roman" w:cs="Times New Roman"/>
          <w:sz w:val="24"/>
          <w:szCs w:val="24"/>
        </w:rPr>
      </w:pPr>
      <w:r w:rsidRPr="00FE7FF8">
        <w:rPr>
          <w:rFonts w:ascii="Times New Roman" w:eastAsia="Times New Roman" w:hAnsi="Times New Roman" w:cs="Times New Roman"/>
          <w:color w:val="000000"/>
          <w:sz w:val="24"/>
          <w:szCs w:val="24"/>
        </w:rPr>
        <w:t>1. Acting pursuant to the Clean Air Act of 1990, the Environmental Protection Agency promulgated regulations in 1994 intended to reduce air pollution by strictly limiting certain contents of reformulated and conventional gasoline made in and imported into the United States.</w:t>
      </w:r>
    </w:p>
    <w:p w:rsidR="00FE7FF8" w:rsidRPr="00FE7FF8" w:rsidRDefault="00FE7FF8" w:rsidP="00FE7FF8">
      <w:pPr>
        <w:spacing w:after="0" w:line="240" w:lineRule="auto"/>
        <w:ind w:left="720"/>
        <w:jc w:val="both"/>
        <w:rPr>
          <w:rFonts w:ascii="Times New Roman" w:eastAsia="Times New Roman" w:hAnsi="Times New Roman" w:cs="Times New Roman"/>
          <w:sz w:val="24"/>
          <w:szCs w:val="24"/>
        </w:rPr>
      </w:pPr>
      <w:r w:rsidRPr="00FE7FF8">
        <w:rPr>
          <w:rFonts w:ascii="Times New Roman" w:eastAsia="Times New Roman" w:hAnsi="Times New Roman" w:cs="Times New Roman"/>
          <w:color w:val="000000"/>
          <w:sz w:val="24"/>
          <w:szCs w:val="24"/>
        </w:rPr>
        <w:t xml:space="preserve">2. Consecutive decisions of a panel and the Appellate Body affirmed that the EPA had violated the WTO and that the United States should bring its gas content regulations “into conformity with its obligations under the General Agreement” or, in other words, the WTO 2. Congress (hypothetically) decides to protect certain U.S. fish and wildlife by banning or placing restrictions on the importation of certain food products into the United States that carry exotic disease agents. Countries that export such food products to the United States complain to the WTO that the U.S. ban or restrictions violate relevant portions of the WTO and of the Agreement on the Application of Sanitary and Phytosanitary Measures. A WTO dispute panel is empowered to scrutinize the U.S. ban or restrictions for their compliance with the WTO, thereby creating the risk that the legislation will have to be rescinded or changed even though it is fully constitutional. </w:t>
      </w:r>
    </w:p>
    <w:p w:rsidR="00FE7FF8" w:rsidRPr="00FE7FF8" w:rsidRDefault="00FE7FF8" w:rsidP="00FE7FF8">
      <w:pPr>
        <w:spacing w:after="0" w:line="240" w:lineRule="auto"/>
        <w:ind w:left="720"/>
        <w:jc w:val="both"/>
        <w:rPr>
          <w:rFonts w:ascii="Times New Roman" w:eastAsia="Times New Roman" w:hAnsi="Times New Roman" w:cs="Times New Roman"/>
          <w:sz w:val="24"/>
          <w:szCs w:val="24"/>
        </w:rPr>
      </w:pPr>
      <w:r w:rsidRPr="00FE7FF8">
        <w:rPr>
          <w:rFonts w:ascii="Times New Roman" w:eastAsia="Times New Roman" w:hAnsi="Times New Roman" w:cs="Times New Roman"/>
          <w:color w:val="000000"/>
          <w:sz w:val="24"/>
          <w:szCs w:val="24"/>
        </w:rPr>
        <w:t xml:space="preserve">3. The United States decides to act to conserve sea turtles, an endangered species, from death or harm that occurs during shrimp harvesting. Congress amends the Endangered Species Act in 1989 to require that foreign nations, as a condition to selling their shrimp in U.S. markets, certify that their fishermen have caught the shrimp in a manner that does not kill or threaten sea turtles. A number of countries bring TO actions against the United States, arguing that the amendment to the Endangered Species Act constitutes a violation of the WTO agreements. The U.S. legislation is scrutinized by the Dispute Settlement Body through panel reports and Appellate Body decisions. The United States is required to amend its legislation. </w:t>
      </w:r>
    </w:p>
    <w:p w:rsidR="00FE7FF8" w:rsidRPr="00FE7FF8" w:rsidRDefault="00FE7FF8" w:rsidP="00FE7FF8">
      <w:pPr>
        <w:spacing w:after="0" w:line="240" w:lineRule="auto"/>
        <w:ind w:left="720"/>
        <w:jc w:val="both"/>
        <w:rPr>
          <w:rFonts w:ascii="Times New Roman" w:eastAsia="Times New Roman" w:hAnsi="Times New Roman" w:cs="Times New Roman"/>
          <w:sz w:val="24"/>
          <w:szCs w:val="24"/>
        </w:rPr>
      </w:pPr>
      <w:r w:rsidRPr="00FE7FF8">
        <w:rPr>
          <w:rFonts w:ascii="Times New Roman" w:eastAsia="Times New Roman" w:hAnsi="Times New Roman" w:cs="Times New Roman"/>
          <w:color w:val="000000"/>
          <w:sz w:val="24"/>
          <w:szCs w:val="24"/>
        </w:rPr>
        <w:t xml:space="preserve">4. After much debate, Congress (hypothetically) enacts legislation to ban the sale in the U.S. of goods made abroad by workers who do not benefit from certain minimal standards in work conditions and pay. Actions are brought in the WTO by numerous developing countries, many run by despotic governments, who argue that lower than minimal standards and cheap labor comprise their greatest comparative advantage. </w:t>
      </w:r>
      <w:proofErr w:type="spellStart"/>
      <w:r w:rsidRPr="00FE7FF8">
        <w:rPr>
          <w:rFonts w:ascii="Times New Roman" w:eastAsia="Times New Roman" w:hAnsi="Times New Roman" w:cs="Times New Roman"/>
          <w:color w:val="000000"/>
          <w:sz w:val="24"/>
          <w:szCs w:val="24"/>
        </w:rPr>
        <w:t>TheWTO</w:t>
      </w:r>
      <w:proofErr w:type="spellEnd"/>
      <w:r w:rsidRPr="00FE7FF8">
        <w:rPr>
          <w:rFonts w:ascii="Times New Roman" w:eastAsia="Times New Roman" w:hAnsi="Times New Roman" w:cs="Times New Roman"/>
          <w:color w:val="000000"/>
          <w:sz w:val="24"/>
          <w:szCs w:val="24"/>
        </w:rPr>
        <w:t xml:space="preserve">, after completion of the entire dispute settlement process, orders the U.S. to lift its prohibitions. </w:t>
      </w:r>
    </w:p>
    <w:p w:rsidR="00FE7FF8" w:rsidRPr="00FE7FF8" w:rsidRDefault="00FE7FF8" w:rsidP="00FE7FF8">
      <w:pPr>
        <w:spacing w:after="0" w:line="240" w:lineRule="auto"/>
        <w:ind w:left="720"/>
        <w:jc w:val="both"/>
        <w:rPr>
          <w:rFonts w:ascii="Times New Roman" w:eastAsia="Times New Roman" w:hAnsi="Times New Roman" w:cs="Times New Roman"/>
          <w:sz w:val="24"/>
          <w:szCs w:val="24"/>
        </w:rPr>
      </w:pPr>
      <w:r w:rsidRPr="00FE7FF8">
        <w:rPr>
          <w:rFonts w:ascii="Times New Roman" w:eastAsia="Times New Roman" w:hAnsi="Times New Roman" w:cs="Times New Roman"/>
          <w:color w:val="000000"/>
          <w:sz w:val="24"/>
          <w:szCs w:val="24"/>
        </w:rPr>
        <w:t>5. The State of California enacts standards into its environmental law that prohibit the use, marketing, and sale, in California, of a gas additive called MTBE because the additive has been discovered to be harmful to human health. An investor in Canada who makes methanol (a component of MTBE) and sells it in California stands to lose its entire California-based business. The investor brings a private action before an arbitral tribunal under Chapter 11 of NAFTA to argue that the California legislation is tantamount to expropriation and should therefore trigger a $900 million reimbursement to the Canadian investor.</w:t>
      </w:r>
    </w:p>
    <w:p w:rsidR="00FE7FF8" w:rsidRPr="00FE7FF8" w:rsidRDefault="00FE7FF8" w:rsidP="00FE7FF8">
      <w:pPr>
        <w:spacing w:after="0" w:line="240" w:lineRule="auto"/>
        <w:ind w:left="720"/>
        <w:jc w:val="both"/>
        <w:rPr>
          <w:rFonts w:ascii="Times New Roman" w:eastAsia="Times New Roman" w:hAnsi="Times New Roman" w:cs="Times New Roman"/>
          <w:sz w:val="24"/>
          <w:szCs w:val="24"/>
        </w:rPr>
      </w:pPr>
      <w:r w:rsidRPr="00FE7FF8">
        <w:rPr>
          <w:rFonts w:ascii="Times New Roman" w:eastAsia="Times New Roman" w:hAnsi="Times New Roman" w:cs="Times New Roman"/>
          <w:color w:val="000000"/>
          <w:sz w:val="24"/>
          <w:szCs w:val="24"/>
        </w:rPr>
        <w:t xml:space="preserve"> 6. A Mississippi trial court finds a Canadian company and its U.S. subsidiary in violation of certain provisions of U.S. law and Mississippi state law with respect to the conduct of their funeral business in Mississippi. After the verdict in the trial court requires the </w:t>
      </w:r>
      <w:r w:rsidRPr="00FE7FF8">
        <w:rPr>
          <w:rFonts w:ascii="Times New Roman" w:eastAsia="Times New Roman" w:hAnsi="Times New Roman" w:cs="Times New Roman"/>
          <w:color w:val="000000"/>
          <w:sz w:val="24"/>
          <w:szCs w:val="24"/>
        </w:rPr>
        <w:lastRenderedPageBreak/>
        <w:t>Canadian company to pay compensatory and punitive damages to the Mississippi claimant, the Canadian company files a claim before the International Centre for Settlement of Investment Disputes under Chapter 11 of NAFTA to allege that the U.S. subsidiary has been the victim of treatment in the state court that is tantamount to expropriation. The Canadian company seeks $600 million in damages under NAFTA.</w:t>
      </w:r>
    </w:p>
    <w:p w:rsidR="00FE7FF8" w:rsidRPr="00FE7FF8" w:rsidRDefault="00FE7FF8" w:rsidP="00FE7FF8">
      <w:pPr>
        <w:spacing w:after="0" w:line="240" w:lineRule="auto"/>
        <w:rPr>
          <w:rFonts w:ascii="Times New Roman" w:eastAsia="Times New Roman" w:hAnsi="Times New Roman" w:cs="Times New Roman"/>
          <w:sz w:val="24"/>
          <w:szCs w:val="24"/>
        </w:rPr>
      </w:pPr>
    </w:p>
    <w:p w:rsidR="00FE7FF8" w:rsidRPr="00FE7FF8" w:rsidRDefault="00FE7FF8" w:rsidP="00FE7FF8">
      <w:pPr>
        <w:spacing w:after="0" w:line="240" w:lineRule="auto"/>
        <w:ind w:firstLine="720"/>
        <w:jc w:val="both"/>
        <w:rPr>
          <w:rFonts w:ascii="Times New Roman" w:eastAsia="Times New Roman" w:hAnsi="Times New Roman" w:cs="Times New Roman"/>
          <w:sz w:val="24"/>
          <w:szCs w:val="24"/>
        </w:rPr>
      </w:pPr>
      <w:r w:rsidRPr="00FE7FF8">
        <w:rPr>
          <w:rFonts w:ascii="Times New Roman" w:eastAsia="Times New Roman" w:hAnsi="Times New Roman" w:cs="Times New Roman"/>
          <w:color w:val="000000"/>
          <w:sz w:val="24"/>
          <w:szCs w:val="24"/>
        </w:rPr>
        <w:t xml:space="preserve"> In each of the above examples, results reached constitutionally through federal or state democratic deliberative processes, or through the judicial branch in the case of the last example, are threatened with virtual reversal as a result of actions contemplated or brought under WTO or NAFTA dispute settlement processes, none of whose adjudicators are democratically- elected. Either Congress or the state government concerned must revoke or substantially amend its offending legislation or else suffer retaliatory trade actions or be required to pay large judgments. In any case, the overall effect is to chill the willingness of Congress or state governments to enact legislation to protect health and the environment or to redress injustices created by unfair employment conditions abroad.</w:t>
      </w:r>
    </w:p>
    <w:p w:rsidR="00FE7FF8" w:rsidRPr="00FE7FF8" w:rsidRDefault="00FE7FF8" w:rsidP="00FE7FF8">
      <w:pPr>
        <w:spacing w:after="0" w:line="240" w:lineRule="auto"/>
        <w:ind w:firstLine="720"/>
        <w:jc w:val="both"/>
        <w:rPr>
          <w:rFonts w:ascii="Times New Roman" w:eastAsia="Times New Roman" w:hAnsi="Times New Roman" w:cs="Times New Roman"/>
          <w:sz w:val="24"/>
          <w:szCs w:val="24"/>
        </w:rPr>
      </w:pPr>
      <w:r w:rsidRPr="00FE7FF8">
        <w:rPr>
          <w:rFonts w:ascii="Times New Roman" w:eastAsia="Times New Roman" w:hAnsi="Times New Roman" w:cs="Times New Roman"/>
          <w:color w:val="000000"/>
          <w:sz w:val="24"/>
          <w:szCs w:val="24"/>
        </w:rPr>
        <w:t xml:space="preserve"> Thinking about the validity of federal and state statutes, and even of court decisions, can no longer be limited to the usual inquiries. In many cases, deliberations must now be devoted to the various international trade arrangements to which the United States has agreed.</w:t>
      </w:r>
    </w:p>
    <w:p w:rsidR="005F75F5" w:rsidRDefault="005F75F5">
      <w:bookmarkStart w:id="0" w:name="_GoBack"/>
      <w:bookmarkEnd w:id="0"/>
    </w:p>
    <w:sectPr w:rsidR="005F75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FF8"/>
    <w:rsid w:val="005F75F5"/>
    <w:rsid w:val="00FE7F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9C120B-7B2E-4E1E-8DE7-0A82EFCDB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E7FF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8311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1386</Words>
  <Characters>7903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McCauslin, Nicholas I.</dc:creator>
  <cp:keywords/>
  <dc:description/>
  <cp:lastModifiedBy>McCauslin, Nicholas I.</cp:lastModifiedBy>
  <cp:revision>1</cp:revision>
  <dcterms:created xsi:type="dcterms:W3CDTF">2018-07-02T19:54:00Z</dcterms:created>
  <dcterms:modified xsi:type="dcterms:W3CDTF">2018-07-02T19:54:00Z</dcterms:modified>
</cp:coreProperties>
</file>