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998" w:rsidRPr="006E6A17" w:rsidRDefault="008D1998" w:rsidP="008D1998">
      <w:pPr>
        <w:widowControl w:val="0"/>
        <w:jc w:val="center"/>
        <w:rPr>
          <w:b/>
        </w:rPr>
      </w:pPr>
      <w:bookmarkStart w:id="0" w:name="_GoBack"/>
      <w:bookmarkEnd w:id="0"/>
      <w:proofErr w:type="spellStart"/>
      <w:r w:rsidRPr="006E6A17">
        <w:rPr>
          <w:b/>
        </w:rPr>
        <w:t>Warth</w:t>
      </w:r>
      <w:proofErr w:type="spellEnd"/>
      <w:r w:rsidRPr="006E6A17">
        <w:rPr>
          <w:b/>
        </w:rPr>
        <w:t xml:space="preserve"> v. </w:t>
      </w:r>
      <w:proofErr w:type="spellStart"/>
      <w:r w:rsidRPr="006E6A17">
        <w:rPr>
          <w:b/>
        </w:rPr>
        <w:t>Seldin</w:t>
      </w:r>
      <w:proofErr w:type="spellEnd"/>
    </w:p>
    <w:p w:rsidR="008D1998" w:rsidRPr="001C2A7C" w:rsidRDefault="008D1998" w:rsidP="008D1998">
      <w:pPr>
        <w:widowControl w:val="0"/>
        <w:jc w:val="center"/>
      </w:pPr>
      <w:r w:rsidRPr="001C2A7C">
        <w:t>422 U.S. 490 (1975)</w:t>
      </w:r>
    </w:p>
    <w:p w:rsidR="008D1998" w:rsidRPr="001C2A7C" w:rsidRDefault="008D1998" w:rsidP="008D1998">
      <w:pPr>
        <w:widowControl w:val="0"/>
        <w:jc w:val="both"/>
      </w:pPr>
      <w:r w:rsidRPr="001C2A7C">
        <w:tab/>
      </w:r>
      <w:proofErr w:type="gramStart"/>
      <w:r w:rsidRPr="001C2A7C">
        <w:t>[Majority: Powell, Burger (C.J.), Blackmun, Stewart, and Rehnquist.</w:t>
      </w:r>
      <w:proofErr w:type="gramEnd"/>
      <w:r w:rsidRPr="001C2A7C">
        <w:t xml:space="preserve"> </w:t>
      </w:r>
      <w:proofErr w:type="gramStart"/>
      <w:r w:rsidRPr="001C2A7C">
        <w:t>Dissenting: Douglas, Brennan, White, and Marshall.]</w:t>
      </w:r>
      <w:proofErr w:type="gramEnd"/>
    </w:p>
    <w:p w:rsidR="008D1998" w:rsidRPr="003A5778" w:rsidRDefault="008D1998" w:rsidP="008D1998">
      <w:pPr>
        <w:widowControl w:val="0"/>
        <w:jc w:val="both"/>
      </w:pPr>
      <w:r w:rsidRPr="00230013">
        <w:tab/>
      </w:r>
      <w:r w:rsidRPr="00230013">
        <w:rPr>
          <w:b/>
        </w:rPr>
        <w:t>Mr. Justice Powell delivered the opinion of the Court.</w:t>
      </w:r>
    </w:p>
    <w:p w:rsidR="008D1998" w:rsidRPr="00C20213" w:rsidRDefault="008D1998" w:rsidP="008D1998">
      <w:pPr>
        <w:widowControl w:val="0"/>
        <w:jc w:val="both"/>
      </w:pPr>
      <w:r w:rsidRPr="003A5778">
        <w:tab/>
        <w:t>Petitioners, various organizations and i</w:t>
      </w:r>
      <w:r w:rsidRPr="00534AC6">
        <w:t>ndividuals resident in the Rochester, N.Y., metropolitan area, brought this action in the District Court for the Western District of New York against the town of Penfield, an incorporated municipality adjacent to Rochester, and against members of Penfield'</w:t>
      </w:r>
      <w:r w:rsidRPr="00C20213">
        <w:t>s Zoning, Planning and Town Boards. Petitioners claimed that the town's zoning ordinance, by its terms and as enforced by the defendant board members, respondents here, effectively excluded persons of low and moderate income from living in the town, in contravention of petitioners' 1st, 9th, and 14th Amendment rights and in violation of 42 U.S.C.</w:t>
      </w:r>
      <w:r>
        <w:t>§</w:t>
      </w:r>
      <w:r w:rsidRPr="00C20213">
        <w:t xml:space="preserve">1981, </w:t>
      </w:r>
      <w:r>
        <w:t>§</w:t>
      </w:r>
      <w:r w:rsidRPr="00C20213">
        <w:t xml:space="preserve">1982, and </w:t>
      </w:r>
      <w:r>
        <w:t>§</w:t>
      </w:r>
      <w:r w:rsidRPr="00C20213">
        <w:t>1983. The District Court dismissed the complaint and denied a motion to add petitioner Housing Council in the Monroe County Area, Inc., as party-plaintiff and also a motion by petitioner Rochester Home Builders Association, Inc., for leave to intervene as party-plaintiff. The Court of Appeals for the Second Circuit affirmed, holding that none of the plaintiffs, and neither the Housing Council nor Home Builders Association, had standing to prosecute the action. We granted the petition for certio</w:t>
      </w:r>
      <w:r>
        <w:t>rari.</w:t>
      </w:r>
      <w:r w:rsidRPr="00C20213">
        <w:t xml:space="preserve"> [W]e </w:t>
      </w:r>
      <w:proofErr w:type="gramStart"/>
      <w:r w:rsidRPr="00C20213">
        <w:t>affirm</w:t>
      </w:r>
      <w:proofErr w:type="gramEnd"/>
      <w:r w:rsidRPr="00C20213">
        <w:t>.</w:t>
      </w:r>
    </w:p>
    <w:p w:rsidR="008D1998" w:rsidRPr="00C20213" w:rsidRDefault="008D1998" w:rsidP="008D1998">
      <w:pPr>
        <w:widowControl w:val="0"/>
        <w:jc w:val="both"/>
      </w:pPr>
      <w:r w:rsidRPr="00C20213">
        <w:tab/>
        <w:t>II. We address first the principles of standing relevant to the claims asserted by the several categories of petitioners in this case. In essence the question of standing is whether the litigant is entitled to have the court decide the merits of the dispute or of particular issues. This inquiry involves both constitutional limitations on federal-court jurisdiction and prudential limitations on its exercise. In both dimensions it is founded in concern about the proper — and properly limited — role of the courts in a democratic society.</w:t>
      </w:r>
    </w:p>
    <w:p w:rsidR="008D1998" w:rsidRPr="00C20213" w:rsidRDefault="008D1998" w:rsidP="008D1998">
      <w:pPr>
        <w:widowControl w:val="0"/>
        <w:jc w:val="both"/>
      </w:pPr>
      <w:r w:rsidRPr="00C20213">
        <w:tab/>
        <w:t xml:space="preserve">In its constitutional dimension, standing imports </w:t>
      </w:r>
      <w:proofErr w:type="spellStart"/>
      <w:r w:rsidRPr="00C20213">
        <w:t>justiciability</w:t>
      </w:r>
      <w:proofErr w:type="spellEnd"/>
      <w:r w:rsidRPr="00C20213">
        <w:t xml:space="preserve">: whether the plaintiff has made out a "case or controversy" between himself and the defendant within the meaning of Art. III. This is the threshold question in every federal case, determining the power of the court to entertain the suit. As an aspect of </w:t>
      </w:r>
      <w:proofErr w:type="spellStart"/>
      <w:r w:rsidRPr="00C20213">
        <w:t>justiciability</w:t>
      </w:r>
      <w:proofErr w:type="spellEnd"/>
      <w:r w:rsidRPr="00C20213">
        <w:t xml:space="preserve">, the standing question is whether the plaintiff has "alleged such a personal stake in the outcome of the controversy" as to warrant his invocation of federal-court jurisdiction and to justify exercise of the court's remedial powers on his behalf. </w:t>
      </w:r>
      <w:proofErr w:type="gramStart"/>
      <w:r w:rsidRPr="00C20213">
        <w:t>The Art.</w:t>
      </w:r>
      <w:proofErr w:type="gramEnd"/>
      <w:r w:rsidRPr="00C20213">
        <w:t xml:space="preserve"> III judicial power exists only to redress or otherwise to protect against injury to the complaining party, even though the court's judgment may benefit others collaterally. A federal court's jurisdiction therefore can be invoked only when the plaintiff himself has suffered "some threatened or actual injury resulting from the putatively illegal action." . . .</w:t>
      </w:r>
    </w:p>
    <w:p w:rsidR="008D1998" w:rsidRPr="00C20213" w:rsidRDefault="008D1998" w:rsidP="008D1998">
      <w:pPr>
        <w:widowControl w:val="0"/>
        <w:jc w:val="both"/>
      </w:pPr>
      <w:r w:rsidRPr="00C20213">
        <w:tab/>
        <w:t xml:space="preserve">Apart from this minimum constitutional mandate, this Court has recognized other limits on the class of persons who may invoke the courts' decisional and remedial powers. First, the Court has held that when the asserted harm is a "generalized grievance" shared in substantially equal measure by all or a large class of citizens, that harm alone normally does not warrant exercise of jurisdiction. . . . Second, even when the plaintiff has alleged injury sufficient to meet the "case or controversy" requirement, this Court has held that the plaintiff generally must assert his own legal rights and interests, and cannot rest his claim to relief on the legal rights or interests of third parties. . . . </w:t>
      </w:r>
      <w:proofErr w:type="gramStart"/>
      <w:r w:rsidRPr="00C20213">
        <w:t>Without such limitations — closely related to Art.</w:t>
      </w:r>
      <w:proofErr w:type="gramEnd"/>
      <w:r w:rsidRPr="00C20213">
        <w:t xml:space="preserve"> III concerns but essentially matters of judicial self-governance — the courts would be called upon to decide abstract questions of wide public significance even though other governmental institutions may be more competent to address the questions and even though judicial intervention may be unnecessary to protect individual rights.</w:t>
      </w:r>
    </w:p>
    <w:p w:rsidR="008D1998" w:rsidRPr="00C20213" w:rsidRDefault="008D1998" w:rsidP="008D1998">
      <w:pPr>
        <w:widowControl w:val="0"/>
        <w:jc w:val="both"/>
      </w:pPr>
      <w:r w:rsidRPr="00C20213">
        <w:lastRenderedPageBreak/>
        <w:tab/>
        <w:t xml:space="preserve">Although standing in no way depends on the merits of the plaintiff's contention that particular conduct is illegal it often turns on the nature and source of the claim asserted. The actual or threatened injury required by Art. III may exist solely by virtue of "statutes creating legal rights, the invasion of which creates standing." . . . Moreover, the source of the plaintiff's claim to relief assumes critical importance with respect to the prudential rules of standing that, apart from Art. III's minimum requirements, serve to limit the role of the courts in resolving public disputes. Essentially, the standing question in such cases is whether the constitutional or statutory provision on which the claim rests properly can be understood as granting persons in the plaintiff's position a right to judicial relief. In some circumstances, countervailing considerations may outweigh the concerns underlying the usual reluctance to exert judicial power when the plaintiff's claim to relief rests on the legal rights of third parties. In such instances, the Court has found, in effect, that the constitutional or statutory provision in question implies a right of action in the plaintiff. See generally Part IV, </w:t>
      </w:r>
      <w:r w:rsidRPr="00C20213">
        <w:rPr>
          <w:i/>
        </w:rPr>
        <w:t>infra</w:t>
      </w:r>
      <w:r w:rsidRPr="00C20213">
        <w:t>. Moreover, Congress may grant an express right of action to persons who otherwise would be barred by prudential standing rules. Of course, Art. III's requirement remains: the plaintiff still must allege a distinct and palpable injury to himself, even if it is an injury shared by a large class of other possible litigants. . . .</w:t>
      </w:r>
    </w:p>
    <w:p w:rsidR="008D1998" w:rsidRPr="00C20213" w:rsidRDefault="008D1998" w:rsidP="008D1998">
      <w:pPr>
        <w:widowControl w:val="0"/>
        <w:jc w:val="both"/>
      </w:pPr>
      <w:r w:rsidRPr="00C20213">
        <w:tab/>
        <w:t xml:space="preserve">III. With these general considerations in mind, we turn first to the claims of petitioners Ortiz, Reyes, </w:t>
      </w:r>
      <w:proofErr w:type="spellStart"/>
      <w:r w:rsidRPr="00C20213">
        <w:t>Sinkler</w:t>
      </w:r>
      <w:proofErr w:type="spellEnd"/>
      <w:r w:rsidRPr="00C20213">
        <w:t xml:space="preserve">, and Broadnax, each of whom asserts standing as a person of low or moderate income and, coincidentally, as a member of a minority racial or ethnic group. We must assume, taking the allegations of the complaint as true, that Penfield's zoning ordinance and the pattern of enforcement by respondent officials have had the purpose and effect of excluding persons of low and moderate income, many of whom are members of racial or ethnic minority groups. We also assume, for purposes here, that such intentional exclusionary practices, if proved in a proper case, would be adjudged </w:t>
      </w:r>
      <w:proofErr w:type="spellStart"/>
      <w:r w:rsidRPr="00C20213">
        <w:t>violative</w:t>
      </w:r>
      <w:proofErr w:type="spellEnd"/>
      <w:r w:rsidRPr="00C20213">
        <w:t xml:space="preserve"> of the constitutional and statutory rights of the persons excluded.</w:t>
      </w:r>
    </w:p>
    <w:p w:rsidR="008D1998" w:rsidRPr="00C20213" w:rsidRDefault="008D1998" w:rsidP="008D1998">
      <w:pPr>
        <w:widowControl w:val="0"/>
        <w:jc w:val="both"/>
      </w:pPr>
      <w:r w:rsidRPr="00C20213">
        <w:tab/>
        <w:t xml:space="preserve">But the fact that these petitioners share attributes common to persons who may have been excluded from residence in the town is an insufficient predicate for the conclusion that petitioners themselves have been excluded, or that the respondents' </w:t>
      </w:r>
      <w:proofErr w:type="spellStart"/>
      <w:r w:rsidRPr="00C20213">
        <w:t>assertedly</w:t>
      </w:r>
      <w:proofErr w:type="spellEnd"/>
      <w:r w:rsidRPr="00C20213">
        <w:t xml:space="preserve"> illegal actions have violated their rights. Petitioners must allege and show that they personally have been injured, not that injury has been suffered by other, unidentified members of the class to which they belong and which they purport to represent. Unless these petitioners can thus demonstrate the requisite case or controversy between themselves personally and respondents, "none may seek relief on behalf of himself or any other member of the class." . . .</w:t>
      </w:r>
    </w:p>
    <w:p w:rsidR="008D1998" w:rsidRPr="00C20213" w:rsidRDefault="008D1998" w:rsidP="008D1998">
      <w:pPr>
        <w:widowControl w:val="0"/>
        <w:jc w:val="both"/>
      </w:pPr>
      <w:r w:rsidRPr="00C20213">
        <w:tab/>
        <w:t xml:space="preserve">In their complaint, petitioners Ortiz, Reyes, </w:t>
      </w:r>
      <w:proofErr w:type="spellStart"/>
      <w:r w:rsidRPr="00C20213">
        <w:t>Sinkler</w:t>
      </w:r>
      <w:proofErr w:type="spellEnd"/>
      <w:r w:rsidRPr="00C20213">
        <w:t xml:space="preserve">, and Broadnax alleged in conclusory terms that they are among the persons excluded by respondents' actions. None of them has ever resided in Penfield; each claims at least implicitly that he desires, or has desired, to do so. Each asserts, moreover, that he made some effort, at some time, to locate housing in Penfield that was at once within his means and adequate for his family's needs. Each claims that his efforts proved fruitless. We may assume, as petitioners allege, that respondents' actions have contributed, perhaps substantially, to the cost of housing in Penfield. But there remains the question whether petitioners' inability to locate suitable housing in Penfield reasonably can be said to have resulted, in any concretely demonstrable way, from respondents' alleged constitutional and statutory infractions. Petitioners must allege facts from which it reasonably could be inferred that, absent the respondents' restrictive zoning practices, there is a substantial probability that they would have been able to purchase or lease in Penfield and that, if the court affords the relief </w:t>
      </w:r>
      <w:r w:rsidRPr="00C20213">
        <w:lastRenderedPageBreak/>
        <w:t>requested, the asserted inability of petitioners will be removed.</w:t>
      </w:r>
    </w:p>
    <w:p w:rsidR="008D1998" w:rsidRPr="00C20213" w:rsidRDefault="008D1998" w:rsidP="008D1998">
      <w:pPr>
        <w:widowControl w:val="0"/>
        <w:jc w:val="both"/>
      </w:pPr>
      <w:r w:rsidRPr="00C20213">
        <w:tab/>
        <w:t xml:space="preserve">We find the record devoid of the necessary allegations. As the Court of Appeals noted, none of these petitioners has a present interest in any Penfield property; none is himself subject to the ordinance's strictures; and none has even been denied a variance or permit by respondent officials. . . . Instead, petitioners claim that respondents' enforcement of the ordinance against third parties — developers, builders, and the like — has had the consequence of precluding the construction of housing suitable to their needs at prices they might be able to afford. The fact that the harm to petitioners may have resulted indirectly does not in itself preclude standing. When a governmental prohibition or restriction imposed </w:t>
      </w:r>
      <w:proofErr w:type="gramStart"/>
      <w:r w:rsidRPr="00C20213">
        <w:t>on one party causes specific harm</w:t>
      </w:r>
      <w:proofErr w:type="gramEnd"/>
      <w:r w:rsidRPr="00C20213">
        <w:t xml:space="preserve"> to a third party, harm that a constitutional provision or statute was intended to prevent, the indirectness of the injury does not necessarily deprive the person harmed of standing to vindicate his rights. But it may make it substantially more difficult to meet the minimum requirement of Art. III: to establish that, in fact, the asserted injury was the consequence of the defendants' actions, or that prospective relief will remove the harm.</w:t>
      </w:r>
    </w:p>
    <w:p w:rsidR="008D1998" w:rsidRPr="00C20213" w:rsidRDefault="008D1998" w:rsidP="008D1998">
      <w:pPr>
        <w:widowControl w:val="0"/>
        <w:jc w:val="both"/>
      </w:pPr>
      <w:r w:rsidRPr="00C20213">
        <w:tab/>
        <w:t xml:space="preserve">Here, by their own admission, realization of petitioners' desire to live in Penfield always has depended on the efforts and willingness of third parties to build low- and moderate-cost housing. The record specifically refers to only two such efforts: that of Penfield Better Homes Corp., in late 1969, to obtain the rezoning of certain land in Penfield to allow the construction of subsidized cooperative townhouses that could be purchased by persons of moderate income; and a similar effort by O'Brien Homes, Inc., in late 1971. But the record is devoid of any indication that these projects, or other like projects, would have satisfied petitioners' needs at prices they could afford, or that, were the court to remove the obstructions attributable to respondents, such relief would benefit petitioners. Indeed, petitioners' descriptions of their individual financial situations and housing needs suggest precisely the contrary — that their inability to reside in Penfield is the consequence of the economics of the area housing market, rather than of respondents' </w:t>
      </w:r>
      <w:proofErr w:type="spellStart"/>
      <w:r w:rsidRPr="00C20213">
        <w:t>assertedly</w:t>
      </w:r>
      <w:proofErr w:type="spellEnd"/>
      <w:r w:rsidRPr="00C20213">
        <w:t xml:space="preserve"> illegal acts. In short, the facts alleged fail to support an actionable causal relationship between Penfield's zoning practices and petitioners' asserted injury.</w:t>
      </w:r>
    </w:p>
    <w:p w:rsidR="008D1998" w:rsidRPr="00C20213" w:rsidRDefault="008D1998" w:rsidP="008D1998">
      <w:pPr>
        <w:widowControl w:val="0"/>
        <w:jc w:val="both"/>
      </w:pPr>
      <w:r w:rsidRPr="00C20213">
        <w:tab/>
        <w:t xml:space="preserve">In support of their position, petitioners refer to several decisions in the District Courts and Courts of Appeals, acknowledging standing in low-income, minority-group plaintiffs to challenge exclusionary zoning practices. In those cases, however, the plaintiffs challenged zoning restrictions as applied to particular projects that would supply housing within their means, and of which they were intended residents. The plaintiffs thus were able to demonstrate that unless relief from </w:t>
      </w:r>
      <w:proofErr w:type="spellStart"/>
      <w:r w:rsidRPr="00C20213">
        <w:t>assertedly</w:t>
      </w:r>
      <w:proofErr w:type="spellEnd"/>
      <w:r w:rsidRPr="00C20213">
        <w:t xml:space="preserve"> illegal actions was </w:t>
      </w:r>
      <w:proofErr w:type="gramStart"/>
      <w:r w:rsidRPr="00C20213">
        <w:t>forthcoming,</w:t>
      </w:r>
      <w:proofErr w:type="gramEnd"/>
      <w:r w:rsidRPr="00C20213">
        <w:t xml:space="preserve"> their immediate and personal interests would be harmed. Petitioners here assert no like circumstances. Instead, they rely on little more than the remote possibility, unsubstantiated by allegations of fact, that their situation might have been better had respondents acted otherwise, and might improve were the court to afford relief.</w:t>
      </w:r>
    </w:p>
    <w:p w:rsidR="008D1998" w:rsidRPr="00C20213" w:rsidRDefault="008D1998" w:rsidP="008D1998">
      <w:pPr>
        <w:widowControl w:val="0"/>
        <w:jc w:val="both"/>
      </w:pPr>
      <w:r w:rsidRPr="00C20213">
        <w:tab/>
        <w:t>We hold only that a plaintiff who seeks to challenge exclusionary zoning practices must allege specific, concrete facts demonstrating that the challenged practices harm him, and that he personally would benefit in a tangible way from the court's intervention.3 . . .</w:t>
      </w:r>
    </w:p>
    <w:p w:rsidR="008D1998" w:rsidRPr="00C20213" w:rsidRDefault="008D1998" w:rsidP="008D1998">
      <w:pPr>
        <w:widowControl w:val="0"/>
        <w:jc w:val="both"/>
      </w:pPr>
      <w:r w:rsidRPr="00C20213">
        <w:tab/>
        <w:t>IV. The petitioners who assert standing on the basis of their status as taxpayers of the city of Rochester present a different set of problems. [The Court summarily rejects their claim.]</w:t>
      </w:r>
    </w:p>
    <w:p w:rsidR="008D1998" w:rsidRPr="00C20213" w:rsidRDefault="008D1998" w:rsidP="008D1998">
      <w:pPr>
        <w:widowControl w:val="0"/>
        <w:jc w:val="both"/>
      </w:pPr>
      <w:r w:rsidRPr="00C20213">
        <w:tab/>
        <w:t>V. We turn next to the standing problems presented by the petitioner associations. . . .</w:t>
      </w:r>
    </w:p>
    <w:p w:rsidR="008D1998" w:rsidRPr="00C20213" w:rsidRDefault="008D1998" w:rsidP="008D1998">
      <w:pPr>
        <w:widowControl w:val="0"/>
        <w:jc w:val="both"/>
      </w:pPr>
      <w:r w:rsidRPr="00C20213">
        <w:tab/>
        <w:t xml:space="preserve">Even in the absence of injury to itself, an association may have standing solely as the representative of its members. The possibility of such representational standing, however, does not eliminate or attenuate the constitutional requirement of a case or controversy. The association </w:t>
      </w:r>
      <w:r w:rsidRPr="00C20213">
        <w:lastRenderedPageBreak/>
        <w:t>must allege that its members, or any one of them, are suffering immediate or threatened injury as a result of the challenged action of the sort that would make out a justiciable case had the members themselves brought suit. So long as this can be established, and so long as the nature of the claim and of the relief sought does not make the individual participation of each injured party indispensable to proper resolution of the cause, the association may be an appropriate representative of its members, entitled to invoke the court's jurisdiction.</w:t>
      </w:r>
    </w:p>
    <w:p w:rsidR="008D1998" w:rsidRPr="00C20213" w:rsidRDefault="008D1998" w:rsidP="008D1998">
      <w:pPr>
        <w:widowControl w:val="0"/>
        <w:jc w:val="both"/>
      </w:pPr>
      <w:r w:rsidRPr="00C20213">
        <w:tab/>
      </w:r>
      <w:proofErr w:type="gramStart"/>
      <w:r w:rsidRPr="00C20213">
        <w:t>V-B.</w:t>
      </w:r>
      <w:proofErr w:type="gramEnd"/>
      <w:r w:rsidRPr="00C20213">
        <w:t xml:space="preserve"> Petitioner Rochester Home Builders Association, in its </w:t>
      </w:r>
      <w:proofErr w:type="spellStart"/>
      <w:r w:rsidRPr="00C20213">
        <w:t>intervenor</w:t>
      </w:r>
      <w:proofErr w:type="spellEnd"/>
      <w:r w:rsidRPr="00C20213">
        <w:t xml:space="preserve">-complaint, asserted standing to represent its member firms engaged in the development and construction of residential housing in the Rochester area, including Penfield. Home Builders alleged that the Penfield zoning restrictions, together with refusals by the town officials to grant variances and permits for the construction of low- and moderate-cost housing, had deprived some of its members of "substantial business opportunities and profits." </w:t>
      </w:r>
      <w:proofErr w:type="gramStart"/>
      <w:r w:rsidRPr="00C20213">
        <w:t>App. 156.</w:t>
      </w:r>
      <w:proofErr w:type="gramEnd"/>
      <w:r w:rsidRPr="00C20213">
        <w:t xml:space="preserve"> Home Builders claimed damages of $750,000 and also joined in the original plaintiffs' prayer for declaratory and injunctive relief.</w:t>
      </w:r>
    </w:p>
    <w:p w:rsidR="008D1998" w:rsidRPr="00C20213" w:rsidRDefault="008D1998" w:rsidP="008D1998">
      <w:pPr>
        <w:widowControl w:val="0"/>
        <w:jc w:val="both"/>
      </w:pPr>
      <w:r w:rsidRPr="00C20213">
        <w:tab/>
        <w:t>As noted above, to justify any relief the association must show that it has suffered harm, or that one or more of its members are injured. . . .</w:t>
      </w:r>
    </w:p>
    <w:p w:rsidR="008D1998" w:rsidRPr="00C20213" w:rsidRDefault="008D1998" w:rsidP="008D1998">
      <w:pPr>
        <w:widowControl w:val="0"/>
        <w:jc w:val="both"/>
      </w:pPr>
      <w:r w:rsidRPr="00C20213">
        <w:tab/>
        <w:t>Home Builders alleges no monetary injury to itself, nor any assignment of the damages claims of its members. No award therefore can be made to the association as such. Moreover, in the circumstances of this case, the damages claims are not common to the entire membership, nor shared by all in equal degree. To the contrary, whatever injury may have been suffered is peculiar to the individual member concerned, and both the fact and extent of injury would require individualized proof. Thus, to obtain relief in damages, each member of Home Builders who claims injury as a result of respondents' practices must be a party to the suit, and Home Builders has no standing to claim damages on his behalf.</w:t>
      </w:r>
    </w:p>
    <w:p w:rsidR="008D1998" w:rsidRPr="00C20213" w:rsidRDefault="008D1998" w:rsidP="008D1998">
      <w:pPr>
        <w:widowControl w:val="0"/>
        <w:jc w:val="both"/>
      </w:pPr>
      <w:r w:rsidRPr="00C20213">
        <w:tab/>
        <w:t>Home Builders' prayer for prospective relief fails for a different reason. It can have standing as the representative of its members only if it has alleged facts sufficient to make out a case or controversy had the members themselves brought suit. No such allegations were made. The complaint refers to no specific project of any of its members that is currently precluded either by the ordinance or by respondents' action in enforcing it. There is no averment that any member has applied to respondents for a building permit or a variance with respect to any current project. Indeed, there is no indication that respondents have delayed or thwarted any project currently proposed by Home Builders' members, or that any of its members has taken advantage of the remedial processes available under the ordinance. In short, insofar as the complaint seeks prospective relief, Home Builders has failed to show the existence of any injury to its members of sufficient immediacy and ripeness to warrant judicial intervention. . . .</w:t>
      </w:r>
    </w:p>
    <w:p w:rsidR="008D1998" w:rsidRPr="00C20213" w:rsidRDefault="008D1998" w:rsidP="008D1998">
      <w:pPr>
        <w:widowControl w:val="0"/>
        <w:jc w:val="both"/>
      </w:pPr>
      <w:r w:rsidRPr="00C20213">
        <w:tab/>
        <w:t xml:space="preserve">A like problem is presented with respect to petitioner Housing Council in the Monroe County Area, Inc. </w:t>
      </w:r>
      <w:proofErr w:type="gramStart"/>
      <w:r w:rsidRPr="00C20213">
        <w:t>The affidavit accompanying the motion to join it as plaintiff states that the Council includes in its membership "at lease seventeen" groups that have been, are, or will be involved in the development of low- and moderate-cost housing.</w:t>
      </w:r>
      <w:proofErr w:type="gramEnd"/>
      <w:r w:rsidRPr="00C20213">
        <w:t xml:space="preserve"> But with one exception, the complaint does not suggest that any of these groups has focused its efforts on Penfield or has any specific plan to do so. Again with the same exception, neither the complaint nor any materials of record indicate that any member of Housing Council has taken any step toward building housing in Penfield, or has had dealings of any nature with respondents. The exception is the Penfield Better Homes Corp. As we have observed above, it applied to respondents in late 1969 for a zoning variance to allow construction of a housing project designed for persons of moderate income. . . . It is therefore possible that in 1969, or within a reasonable time thereafter, Better </w:t>
      </w:r>
      <w:r w:rsidRPr="00C20213">
        <w:lastRenderedPageBreak/>
        <w:t xml:space="preserve">Homes itself and possibly Housing Council as its representative would have had standing to seek review of respondents' action. The complaint, however, does not allege that the Penfield Better Homes project remained viable in 1972 when this complaint was filed, or </w:t>
      </w:r>
      <w:proofErr w:type="gramStart"/>
      <w:r w:rsidRPr="00C20213">
        <w:t>that respondents</w:t>
      </w:r>
      <w:proofErr w:type="gramEnd"/>
      <w:r w:rsidRPr="00C20213">
        <w:t>' actions continued to block a then-current construction project. In short, neither the complaint nor the record supplies any basis from which to infer that the controversy between respondents and Better Homes, however vigorous it may once have been, remained a live, concrete dispute when this complaint was filed.</w:t>
      </w:r>
    </w:p>
    <w:p w:rsidR="008D1998" w:rsidRPr="00C20213" w:rsidRDefault="008D1998" w:rsidP="008D1998">
      <w:pPr>
        <w:widowControl w:val="0"/>
        <w:jc w:val="both"/>
      </w:pPr>
      <w:r w:rsidRPr="00C20213">
        <w:tab/>
        <w:t>VI. The rules of standing, whether as aspects of the Art. III case-or-controversy requirement or as reflections of prudential considerations defining and limiting the role of the courts, are threshold determinants of the propriety of judicial intervention. It is the responsibility of the complainant clearly to allege facts demonstrating that he is a proper party to invoke judicial resolution of the dispute and the exercise of the court's remedial powers. We agree with the District Court and the Court of Appeals that none of the petitioners here has met this threshold requirement. Accordingly, the judgment of the Court of Appeals is</w:t>
      </w:r>
    </w:p>
    <w:p w:rsidR="008D1998" w:rsidRPr="00C20213" w:rsidRDefault="008D1998" w:rsidP="008D1998">
      <w:pPr>
        <w:widowControl w:val="0"/>
        <w:jc w:val="both"/>
      </w:pPr>
      <w:r w:rsidRPr="00C20213">
        <w:tab/>
      </w:r>
      <w:proofErr w:type="gramStart"/>
      <w:r w:rsidRPr="00C20213">
        <w:t>Affirmed.</w:t>
      </w:r>
      <w:proofErr w:type="gramEnd"/>
    </w:p>
    <w:p w:rsidR="008D1998" w:rsidRPr="00C20213" w:rsidRDefault="008D1998" w:rsidP="008D1998">
      <w:pPr>
        <w:widowControl w:val="0"/>
        <w:jc w:val="both"/>
      </w:pPr>
      <w:r w:rsidRPr="00C20213">
        <w:tab/>
      </w:r>
      <w:r w:rsidRPr="00C20213">
        <w:rPr>
          <w:b/>
        </w:rPr>
        <w:t>Mr. Justice Douglas, dissenting</w:t>
      </w:r>
      <w:r w:rsidRPr="00C20213">
        <w:t>. . . .</w:t>
      </w:r>
    </w:p>
    <w:p w:rsidR="008D1998" w:rsidRPr="00C20213" w:rsidRDefault="008D1998" w:rsidP="008D1998">
      <w:pPr>
        <w:widowControl w:val="0"/>
        <w:jc w:val="both"/>
      </w:pPr>
      <w:r w:rsidRPr="00C20213">
        <w:tab/>
        <w:t>Standing has become a barrier to access to the federal courts, much as "the political question" was in earlier decades. The mounting caseload of federal courts is well known. But cases such as this one reflect festering sores in our society; and the American dream teaches that if one reaches high enough and persists there is a forum where justice is dispensed. I would lower the technical barriers and let the courts serve that ancient need. . . .</w:t>
      </w:r>
    </w:p>
    <w:p w:rsidR="008D1998" w:rsidRPr="00C20213" w:rsidRDefault="008D1998" w:rsidP="008D1998">
      <w:pPr>
        <w:widowControl w:val="0"/>
        <w:jc w:val="both"/>
      </w:pPr>
      <w:r w:rsidRPr="00C20213">
        <w:tab/>
        <w:t>I would let the case go to trial and have all the facts brought out. Indeed, it would be better practice to decide the question of standing only when the merits have been developed.</w:t>
      </w:r>
    </w:p>
    <w:p w:rsidR="008D1998" w:rsidRPr="00C20213" w:rsidRDefault="008D1998" w:rsidP="008D1998">
      <w:pPr>
        <w:widowControl w:val="0"/>
        <w:jc w:val="both"/>
      </w:pPr>
      <w:r w:rsidRPr="00C20213">
        <w:tab/>
        <w:t>I would reverse the Court of Appeals.</w:t>
      </w:r>
    </w:p>
    <w:p w:rsidR="008D1998" w:rsidRPr="00C20213" w:rsidRDefault="008D1998" w:rsidP="008D1998">
      <w:pPr>
        <w:widowControl w:val="0"/>
        <w:jc w:val="both"/>
      </w:pPr>
      <w:r w:rsidRPr="00C20213">
        <w:tab/>
      </w:r>
      <w:proofErr w:type="gramStart"/>
      <w:r w:rsidRPr="00C20213">
        <w:rPr>
          <w:b/>
        </w:rPr>
        <w:t>Mr. Justice Brennan, with whom Mr. Justice White and Mr. Justice Marshall join, dissenting.</w:t>
      </w:r>
      <w:proofErr w:type="gramEnd"/>
    </w:p>
    <w:p w:rsidR="008D1998" w:rsidRPr="00C20213" w:rsidRDefault="008D1998" w:rsidP="008D1998">
      <w:pPr>
        <w:widowControl w:val="0"/>
        <w:jc w:val="both"/>
      </w:pPr>
      <w:r w:rsidRPr="00C20213">
        <w:tab/>
        <w:t xml:space="preserve">In this case, a wide range of plaintiffs, alleging various kinds of injuries, claimed to have been affected by the Penfield zoning ordinance, on its face and as applied, and by other practices of the defendant officials of Penfield. </w:t>
      </w:r>
      <w:proofErr w:type="gramStart"/>
      <w:r w:rsidRPr="00C20213">
        <w:t>Alleging that as a result of these laws and practices low- and moderate-income and minority people have been excluded from Penfield, and that this exclusion is unconstitutional, plaintiffs sought injunctive, declaratory, and monetary relief.</w:t>
      </w:r>
      <w:proofErr w:type="gramEnd"/>
      <w:r w:rsidRPr="00C20213">
        <w:t xml:space="preserve"> The Court today, in an opinion that purports to be a "standing" opinion but that actually, I believe, has overtones of outmoded notions of pleading and of </w:t>
      </w:r>
      <w:proofErr w:type="spellStart"/>
      <w:r w:rsidRPr="00C20213">
        <w:t>justiciability</w:t>
      </w:r>
      <w:proofErr w:type="spellEnd"/>
      <w:r w:rsidRPr="00C20213">
        <w:t xml:space="preserve">, refuses to find that any of the variously situated plaintiffs can clear numerous hurdles, some constructed here for the first time, necessary to establish "standing." While the Court gives lip service to the principle, oft repeated in recent years, that "standing in no way depends on the merits of the plaintiff's contention that particular conduct is illegal," in fact the opinion, which tosses out of court almost every conceivable kind of plaintiff who could be injured by the activity claimed to be unconstitutional, can be explained only by an indefensible hostility to the claim on the merits. I can appreciate the Court's reluctance to adjudicate the complex and difficult legal questions involved in determining the constitutionality of practices which </w:t>
      </w:r>
      <w:proofErr w:type="spellStart"/>
      <w:r w:rsidRPr="00C20213">
        <w:t>assertedly</w:t>
      </w:r>
      <w:proofErr w:type="spellEnd"/>
      <w:r w:rsidRPr="00C20213">
        <w:t xml:space="preserve"> limit residence in a particular municipality to those who are white and relatively well off, and I also understand that the merits of this case could involve grave sociological and political ramifications. But courts cannot refuse to hear a case on the merits merely because they would prefer not to, and it is quite clear, when the record is viewed with dispassion, that at least three of the groups of plaintiffs have made allegations, and supported them with affidavits and documentary evidence, sufficient </w:t>
      </w:r>
      <w:r w:rsidRPr="00C20213">
        <w:lastRenderedPageBreak/>
        <w:t>to survive a motion to dismiss for lack of standing.</w:t>
      </w:r>
    </w:p>
    <w:p w:rsidR="008D1998" w:rsidRPr="00C20213" w:rsidRDefault="008D1998" w:rsidP="008D1998">
      <w:pPr>
        <w:widowControl w:val="0"/>
        <w:jc w:val="both"/>
      </w:pPr>
      <w:r w:rsidRPr="00C20213">
        <w:tab/>
        <w:t xml:space="preserve">I. Before considering the three groups I believe clearly to have standing — the low-income, minority plaintiffs, Rochester Home Builders Association, Inc., and the Housing Council in the Monroe County Area, Inc. — it will be helpful to review the picture painted by the allegations as a whole, in order better to comprehend the interwoven interests of the various plaintiffs. Indeed, one glaring defect of the Court's opinion is that it views each set of plaintiffs as if it were prosecuting a separate lawsuit, refusing to recognize that the interests are intertwined, and that the standing of any one group must take into account its position </w:t>
      </w:r>
      <w:proofErr w:type="spellStart"/>
      <w:r w:rsidRPr="00C20213">
        <w:t>vis</w:t>
      </w:r>
      <w:proofErr w:type="spellEnd"/>
      <w:r w:rsidRPr="00C20213">
        <w:t>-a-</w:t>
      </w:r>
      <w:proofErr w:type="spellStart"/>
      <w:r w:rsidRPr="00C20213">
        <w:t>vis</w:t>
      </w:r>
      <w:proofErr w:type="spellEnd"/>
      <w:r w:rsidRPr="00C20213">
        <w:t xml:space="preserve"> the others. For example, the Court says that the low-income minority plaintiffs have not alleged facts sufficient to show that but for the exclusionary practices claimed, they would be able to reside in Penfield. The Court then intimates that such a causal relationship could be shown only if "the initial focus (is) on a particular project." </w:t>
      </w:r>
      <w:proofErr w:type="gramStart"/>
      <w:r w:rsidRPr="00C20213">
        <w:t>Later, the Court objects to the ability of the Housing Council to prosecute the suit on behalf of its member, Penfield Better Homes Corp., despite the fact that Better Homes had displayed an interest in a particular project, because that project was no longer live.</w:t>
      </w:r>
      <w:proofErr w:type="gramEnd"/>
      <w:r w:rsidRPr="00C20213">
        <w:t xml:space="preserve"> Thus, we must suppose that even if the low-income plaintiffs had alleged a desire to live in the Better Homes project, that allegation would be insufficient because it appears that that particular project might never be built. The rights of low-income minority plaintiffs who desire to live in a locality, then, seem to turn on the willingness of a third party to litigate the legality of preclusion of a particular project, despite the fact that the third party may have no economic incentive to incur the costs of litigation with regard to one project, and despite the fact that the low-income minority plaintiffs' interest is not to live in a particular project but to live somewhere in the town in a dwelling they can afford. . . .</w:t>
      </w:r>
    </w:p>
    <w:p w:rsidR="008D1998" w:rsidRPr="00C20213" w:rsidRDefault="008D1998" w:rsidP="008D1998">
      <w:pPr>
        <w:widowControl w:val="0"/>
        <w:jc w:val="both"/>
      </w:pPr>
      <w:r w:rsidRPr="00C20213">
        <w:tab/>
        <w:t>Thus, the portrait which emerges from the allegations and affidavits is one of total, purposeful, intransigent exclusion of certain classes of people from the town, pursuant to a conscious scheme never deviated from. Because of this scheme, those interested in building homes for the excluded groups were faced with insurmountable difficulties, and those of the excluded groups seeking homes in the locality quickly learned that their attempts were futile. Yet, the Court turns the very success of the allegedly unconstitutional scheme into a barrier to a lawsuit seeking its invalidation. In effect, the Court tells the low income minority and building company plaintiffs they will not be permitted to prove what they have alleged — that they could and would build and live in the town if changes were made in the zoning ordinance and its application — because they have not succeeded in breaching, before the suit was filed, the very barriers which are the subject of the suit.</w:t>
      </w:r>
    </w:p>
    <w:p w:rsidR="008D1998" w:rsidRPr="00C20213" w:rsidRDefault="008D1998" w:rsidP="008D1998">
      <w:pPr>
        <w:widowControl w:val="0"/>
        <w:jc w:val="both"/>
      </w:pPr>
      <w:r w:rsidRPr="00C20213">
        <w:tab/>
        <w:t>II. Low-income and Minority Plaintiffs. . . .</w:t>
      </w:r>
    </w:p>
    <w:p w:rsidR="008D1998" w:rsidRPr="00C20213" w:rsidRDefault="008D1998" w:rsidP="008D1998">
      <w:pPr>
        <w:widowControl w:val="0"/>
        <w:jc w:val="both"/>
      </w:pPr>
      <w:r w:rsidRPr="00C20213">
        <w:tab/>
        <w:t>[T]he Court's real holding is not that these petitioners have not alleged an injury resulting from respondents' action, but that they are not to be allowed to prove one, because "realization of petitioners' desire to live in Penfield always has depended on the efforts and willingness of third parties to build low- and moderate-cost housing," and "the record is devoid of any indication that . . . (any) projects, would have satisfied petitioners' needs at prices they could afford."</w:t>
      </w:r>
    </w:p>
    <w:p w:rsidR="008D1998" w:rsidRPr="00C20213" w:rsidRDefault="008D1998" w:rsidP="008D1998">
      <w:pPr>
        <w:widowControl w:val="0"/>
        <w:jc w:val="both"/>
      </w:pPr>
      <w:r w:rsidRPr="00C20213">
        <w:tab/>
        <w:t>Certainly, this is not the sort of demonstration that can or should be required of petitioners at this preliminary stage. . . .</w:t>
      </w:r>
    </w:p>
    <w:p w:rsidR="008D1998" w:rsidRPr="00C20213" w:rsidRDefault="008D1998" w:rsidP="008D1998">
      <w:pPr>
        <w:widowControl w:val="0"/>
        <w:jc w:val="both"/>
      </w:pPr>
      <w:r w:rsidRPr="00C20213">
        <w:tab/>
        <w:t xml:space="preserve">Here, the very fact that, as the Court stresses, these petitioners' claim rests in part upon proving the intentions and capabilities of third parties to build in Penfield suitable housing which they can afford, coupled with the exclusionary character of the claim on the merits, makes it particularly inappropriate to assume that these petitioners' lack of specificity reflects a fatal weakness in their theory of causation. Obviously they cannot be expected, prior to discovery and </w:t>
      </w:r>
      <w:r w:rsidRPr="00C20213">
        <w:lastRenderedPageBreak/>
        <w:t>trial, to know the future plans of building companies, the precise details of the housing market in Penfield, or everything which has transpired in 15 years of application of the Penfield zoning ordinance, including every housing plan suggested and refused. To require them to allege such facts is to require them to prove their case on paper in order to get into court at all, reverting to the form of fact pleading long abjured in the federal courts. . . .</w:t>
      </w:r>
    </w:p>
    <w:p w:rsidR="008D1998" w:rsidRPr="00C20213" w:rsidRDefault="008D1998" w:rsidP="008D1998">
      <w:pPr>
        <w:widowControl w:val="0"/>
        <w:jc w:val="both"/>
      </w:pPr>
      <w:r w:rsidRPr="00C20213">
        <w:tab/>
        <w:t>III. Associations Including Building Concerns. . . .</w:t>
      </w:r>
    </w:p>
    <w:p w:rsidR="008D1998" w:rsidRPr="00C20213" w:rsidRDefault="008D1998" w:rsidP="008D1998">
      <w:pPr>
        <w:widowControl w:val="0"/>
        <w:jc w:val="both"/>
      </w:pPr>
      <w:r w:rsidRPr="00C20213">
        <w:tab/>
        <w:t xml:space="preserve">[T]he Court ignores the thrust of the complaints and asks petitioners to allege the impossible. According to the allegations, the building concerns' experience in the past with Penfield officials has shown any plans for low- and moderate-income housing to be futile for, again according to the </w:t>
      </w:r>
      <w:proofErr w:type="gramStart"/>
      <w:r w:rsidRPr="00C20213">
        <w:t>allegations,</w:t>
      </w:r>
      <w:proofErr w:type="gramEnd"/>
      <w:r w:rsidRPr="00C20213">
        <w:t xml:space="preserve"> the respondents are engaged in a purposeful, conscious scheme to exclude such housing. Particularly with regard to a low- or moderate-income project, the cost of litigating, with respect to any particular project, the legality of a refusal to approve it may well be prohibitive. And the merits of the exclusion of this or that project is not at the heart of the complaint; the claim is that respondents will not approve any project which will provide residences for low- and moderate-income people.</w:t>
      </w:r>
    </w:p>
    <w:p w:rsidR="008D1998" w:rsidRPr="00C20213" w:rsidRDefault="008D1998" w:rsidP="008D1998">
      <w:pPr>
        <w:widowControl w:val="0"/>
        <w:jc w:val="both"/>
      </w:pPr>
      <w:r w:rsidRPr="00C20213">
        <w:tab/>
        <w:t>When this sort of pattern-and-practice claim is at the heart of the controversy, allegations of past injury, which members of both of these organizations have clearly made, and of a future intent, if the barriers are cleared, again to develop suitable housing for Penfield, should be more than sufficient. The past experiences, if proved at trial, will give credibility and substance to the claim of interest in future building activity in Penfield. These parties, if their allegations are proved, certainly have the requisite personal stake in the outcome of this controversy, and the Court's conclusion otherwise is only a conclusion that this controversy may not be litigated in a federal court.</w:t>
      </w:r>
    </w:p>
    <w:p w:rsidR="00684E9C" w:rsidRDefault="008D1998" w:rsidP="008D1998">
      <w:pPr>
        <w:widowControl w:val="0"/>
        <w:jc w:val="both"/>
      </w:pPr>
      <w:r w:rsidRPr="00C20213">
        <w:tab/>
        <w:t>I would reverse the ju</w:t>
      </w:r>
      <w:r>
        <w:t>dgment of the Court of Appeals.</w:t>
      </w:r>
    </w:p>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998"/>
    <w:rsid w:val="00684E9C"/>
    <w:rsid w:val="008D1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998"/>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998"/>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4272</Words>
  <Characters>22473</Characters>
  <Application>Microsoft Office Word</Application>
  <DocSecurity>0</DocSecurity>
  <Lines>321</Lines>
  <Paragraphs>73</Paragraphs>
  <ScaleCrop>false</ScaleCrop>
  <Company/>
  <LinksUpToDate>false</LinksUpToDate>
  <CharactersWithSpaces>26672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2017-06-20T23:13:00Z</dcterms:created>
  <dcterms:modified xsi:type="dcterms:W3CDTF">2017-06-20T23:14:00Z</dcterms:modified>
</cp:coreProperties>
</file>