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7964" w:rsidRPr="000A7964" w:rsidRDefault="000A7964" w:rsidP="000A79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964">
        <w:rPr>
          <w:rFonts w:ascii="Times New Roman" w:hAnsi="Times New Roman" w:cs="Times New Roman"/>
          <w:b/>
          <w:sz w:val="24"/>
          <w:szCs w:val="24"/>
        </w:rPr>
        <w:t xml:space="preserve">Souter’s Review of Substantive Due Process </w:t>
      </w:r>
    </w:p>
    <w:p w:rsidR="000A7964" w:rsidRPr="000A7964" w:rsidRDefault="000A7964" w:rsidP="000A7964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A7964">
        <w:rPr>
          <w:rFonts w:ascii="Times New Roman" w:hAnsi="Times New Roman" w:cs="Times New Roman"/>
          <w:i/>
          <w:sz w:val="24"/>
          <w:szCs w:val="24"/>
        </w:rPr>
        <w:t>Washington v. Glucksberg</w:t>
      </w:r>
    </w:p>
    <w:p w:rsid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0A7964">
        <w:rPr>
          <w:rFonts w:ascii="Times New Roman" w:hAnsi="Times New Roman" w:cs="Times New Roman"/>
          <w:b/>
          <w:sz w:val="24"/>
          <w:szCs w:val="24"/>
        </w:rPr>
        <w:t>Justice Souter, concurring in the judgment</w:t>
      </w:r>
      <w:proofErr w:type="gramStart"/>
      <w:r w:rsidRPr="000A7964">
        <w:rPr>
          <w:rFonts w:ascii="Times New Roman" w:hAnsi="Times New Roman" w:cs="Times New Roman"/>
          <w:b/>
          <w:sz w:val="24"/>
          <w:szCs w:val="24"/>
        </w:rPr>
        <w:t>. . . .</w:t>
      </w:r>
      <w:proofErr w:type="gramEnd"/>
    </w:p>
    <w:p w:rsidR="000A7964" w:rsidRP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[This statute punishes a] doctor who accede[s] to a dying patient’s request for a drug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be taken by the patient to commit suicide. The question is whether the statute sets up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one of those “arbitrary impositions” or “purposeless restraints” at odds with the Due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Process Clause of the 14th Amendment. </w:t>
      </w:r>
      <w:r w:rsidRPr="000A7964">
        <w:rPr>
          <w:rFonts w:ascii="Times New Roman" w:hAnsi="Times New Roman" w:cs="Times New Roman"/>
          <w:i/>
          <w:sz w:val="24"/>
          <w:szCs w:val="24"/>
        </w:rPr>
        <w:t>Poe v. Ullman</w:t>
      </w:r>
      <w:r w:rsidRPr="000A7964">
        <w:rPr>
          <w:rFonts w:ascii="Times New Roman" w:hAnsi="Times New Roman" w:cs="Times New Roman"/>
          <w:sz w:val="24"/>
          <w:szCs w:val="24"/>
        </w:rPr>
        <w:t xml:space="preserve"> (1961) (Harlan, J., dissenting).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conclude that the statute’s application to the doctors has not been shown to be unconstitutional,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but I write separately to give my reasons for analyzing the substantive due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process claims as I do, and for rejecting this one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</w:p>
    <w:p w:rsidR="000A7964" w:rsidRPr="000A7964" w:rsidRDefault="000A7964" w:rsidP="000A7964">
      <w:pPr>
        <w:tabs>
          <w:tab w:val="left" w:pos="56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I. [T]he State argues that the interest asserted by the doctors is beyond constitutional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recognition because it has no deep roots in our history and traditions. But even aside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from that, without disputing that the patients here were competent and terminally ill,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State insists that recognizing the legitimacy of doctors’ assistance of their patients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contemplated here would entail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a number of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adverse consequences that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Washington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Legislature was entitled to forestall. The nub of this part of the State’s argument is not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such patients are constitutionally undeserving of relief on their own account, but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any attempt to confine a right of physician assistance to the circumstances presented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these doctors is likely to fail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A7964" w:rsidRP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4CFF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The State thus argues that recognition of the substantive due process right at issue here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would jeopardize the lives of others outside the class defined by the doctors’ claim, creating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risks of irresponsible suicides and euthanasia, whose dangers are concededly within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State’s authority to address.</w:t>
      </w:r>
    </w:p>
    <w:p w:rsid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II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[Plaintiffs make a substantive due process claim.] The persistence of substantive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due process in our cases points to the legitimacy of the modern justification for such judicial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review found in Justice Harlan’s dissent in </w:t>
      </w:r>
      <w:r w:rsidRPr="000A7964">
        <w:rPr>
          <w:rFonts w:ascii="Times New Roman" w:hAnsi="Times New Roman" w:cs="Times New Roman"/>
          <w:i/>
          <w:sz w:val="24"/>
          <w:szCs w:val="24"/>
        </w:rPr>
        <w:t>Poe,</w:t>
      </w:r>
      <w:r w:rsidRPr="000A7964">
        <w:rPr>
          <w:rFonts w:ascii="Times New Roman" w:hAnsi="Times New Roman" w:cs="Times New Roman"/>
          <w:sz w:val="24"/>
          <w:szCs w:val="24"/>
        </w:rPr>
        <w:t xml:space="preserve"> on which I will dwell further on, while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the acknowledged failures of some of these cases [e.g., </w:t>
      </w:r>
      <w:r w:rsidRPr="000A7964">
        <w:rPr>
          <w:rFonts w:ascii="Times New Roman" w:hAnsi="Times New Roman" w:cs="Times New Roman"/>
          <w:i/>
          <w:sz w:val="24"/>
          <w:szCs w:val="24"/>
        </w:rPr>
        <w:t>Lochner v. New York</w:t>
      </w:r>
      <w:r w:rsidRPr="000A7964">
        <w:rPr>
          <w:rFonts w:ascii="Times New Roman" w:hAnsi="Times New Roman" w:cs="Times New Roman"/>
          <w:sz w:val="24"/>
          <w:szCs w:val="24"/>
        </w:rPr>
        <w:t xml:space="preserve"> (1905)] point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with caution to the difficulty raised by the present claim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A7964" w:rsidRP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A7964" w:rsidRP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 xml:space="preserve">III. My understanding of unenumerated rights in the wake of the </w:t>
      </w:r>
      <w:r w:rsidRPr="000A7964">
        <w:rPr>
          <w:rFonts w:ascii="Times New Roman" w:hAnsi="Times New Roman" w:cs="Times New Roman"/>
          <w:i/>
          <w:sz w:val="24"/>
          <w:szCs w:val="24"/>
        </w:rPr>
        <w:t xml:space="preserve">Poe </w:t>
      </w:r>
      <w:r w:rsidRPr="000A7964">
        <w:rPr>
          <w:rFonts w:ascii="Times New Roman" w:hAnsi="Times New Roman" w:cs="Times New Roman"/>
          <w:sz w:val="24"/>
          <w:szCs w:val="24"/>
        </w:rPr>
        <w:t>dissent and subsequent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cases avoids the absolutist failing of many older cases without embracing the opposite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pole of equating reasonableness with past practice described at a very specific level.</w:t>
      </w:r>
    </w:p>
    <w:p w:rsid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That understanding begins with a concept of “ordered l</w:t>
      </w:r>
      <w:r>
        <w:rPr>
          <w:rFonts w:ascii="Times New Roman" w:hAnsi="Times New Roman" w:cs="Times New Roman"/>
          <w:sz w:val="24"/>
          <w:szCs w:val="24"/>
        </w:rPr>
        <w:t xml:space="preserve">iberty,” comprising a continuum </w:t>
      </w:r>
      <w:r w:rsidRPr="000A7964">
        <w:rPr>
          <w:rFonts w:ascii="Times New Roman" w:hAnsi="Times New Roman" w:cs="Times New Roman"/>
          <w:sz w:val="24"/>
          <w:szCs w:val="24"/>
        </w:rPr>
        <w:t>of rights to be free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“arbitrary impositions and purpos</w:t>
      </w:r>
      <w:r>
        <w:rPr>
          <w:rFonts w:ascii="Times New Roman" w:hAnsi="Times New Roman" w:cs="Times New Roman"/>
          <w:sz w:val="24"/>
          <w:szCs w:val="24"/>
        </w:rPr>
        <w:t xml:space="preserve">eless restraints,” </w:t>
      </w:r>
      <w:r w:rsidRPr="000A7964">
        <w:rPr>
          <w:rFonts w:ascii="Times New Roman" w:hAnsi="Times New Roman" w:cs="Times New Roman"/>
          <w:i/>
          <w:sz w:val="24"/>
          <w:szCs w:val="24"/>
        </w:rPr>
        <w:t>Poe</w:t>
      </w:r>
      <w:r>
        <w:rPr>
          <w:rFonts w:ascii="Times New Roman" w:hAnsi="Times New Roman" w:cs="Times New Roman"/>
          <w:sz w:val="24"/>
          <w:szCs w:val="24"/>
        </w:rPr>
        <w:t xml:space="preserve"> (Harlan, </w:t>
      </w:r>
      <w:r w:rsidRPr="000A7964">
        <w:rPr>
          <w:rFonts w:ascii="Times New Roman" w:hAnsi="Times New Roman" w:cs="Times New Roman"/>
          <w:sz w:val="24"/>
          <w:szCs w:val="24"/>
        </w:rPr>
        <w:t>J., dissenting).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A7964" w:rsidRPr="000A7964" w:rsidRDefault="000A7964" w:rsidP="000A7964">
      <w:pPr>
        <w:tabs>
          <w:tab w:val="left" w:pos="19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0A796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Due Process has not been reduced to any formula; its content cannot be determined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by reference to any code. The best that can be said is that through the</w:t>
      </w:r>
      <w:r>
        <w:rPr>
          <w:rFonts w:ascii="Times New Roman" w:hAnsi="Times New Roman" w:cs="Times New Roman"/>
          <w:sz w:val="24"/>
          <w:szCs w:val="24"/>
        </w:rPr>
        <w:t xml:space="preserve"> course of this Court’s </w:t>
      </w:r>
      <w:r w:rsidRPr="000A7964">
        <w:rPr>
          <w:rFonts w:ascii="Times New Roman" w:hAnsi="Times New Roman" w:cs="Times New Roman"/>
          <w:sz w:val="24"/>
          <w:szCs w:val="24"/>
        </w:rPr>
        <w:t>decisions it has represented the balance which our Nation,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built upon postulates of respect for the liberty of the individual, has struck between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that liberty and the demands of organized society. If the supplying of content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this Constitutional concept has of necessity been a rational process, 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certainly has not been one where judges have felt free to roam where unguided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speculation might take them. The balance of which I speak is the </w:t>
      </w:r>
      <w:r w:rsidRPr="000A7964">
        <w:rPr>
          <w:rFonts w:ascii="Times New Roman" w:hAnsi="Times New Roman" w:cs="Times New Roman"/>
          <w:sz w:val="24"/>
          <w:szCs w:val="24"/>
        </w:rPr>
        <w:lastRenderedPageBreak/>
        <w:t>balance struck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by this country, having regard to what history teaches are the traditions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which it developed as well as the traditions from which it broke. That tradition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is a living thing. A decision of this Court which radically departs from it could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not long survive, while a decision which builds on what has survived is likely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be sound. N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0A7964">
        <w:rPr>
          <w:rFonts w:ascii="Times New Roman" w:hAnsi="Times New Roman" w:cs="Times New Roman"/>
          <w:sz w:val="24"/>
          <w:szCs w:val="24"/>
        </w:rPr>
        <w:t>formula could serve as a substitute, in this area, for judgment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restraint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A7964" w:rsidRP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After the Poe dissent, as before it, this enforceable concept of liberty would bar statutory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impositions even at relatively trivial levels when governmental restraints are undeniably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irrational as unsupported by any imaginable rationale. See, e.g., </w:t>
      </w:r>
      <w:r w:rsidRPr="000A7964">
        <w:rPr>
          <w:rFonts w:ascii="Times New Roman" w:hAnsi="Times New Roman" w:cs="Times New Roman"/>
          <w:i/>
          <w:sz w:val="24"/>
          <w:szCs w:val="24"/>
        </w:rPr>
        <w:t>United States v.</w:t>
      </w:r>
      <w:r w:rsidRPr="000A796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A7964">
        <w:rPr>
          <w:rFonts w:ascii="Times New Roman" w:hAnsi="Times New Roman" w:cs="Times New Roman"/>
          <w:i/>
          <w:sz w:val="24"/>
          <w:szCs w:val="24"/>
        </w:rPr>
        <w:t>Carolene</w:t>
      </w:r>
      <w:proofErr w:type="spellEnd"/>
      <w:r w:rsidRPr="000A7964">
        <w:rPr>
          <w:rFonts w:ascii="Times New Roman" w:hAnsi="Times New Roman" w:cs="Times New Roman"/>
          <w:i/>
          <w:sz w:val="24"/>
          <w:szCs w:val="24"/>
        </w:rPr>
        <w:t xml:space="preserve"> Products Co.</w:t>
      </w:r>
      <w:r w:rsidRPr="000A7964">
        <w:rPr>
          <w:rFonts w:ascii="Times New Roman" w:hAnsi="Times New Roman" w:cs="Times New Roman"/>
          <w:sz w:val="24"/>
          <w:szCs w:val="24"/>
        </w:rPr>
        <w:t xml:space="preserve"> (1938) (economic legislation “not . . . unconstitutional unless . . .facts . . . preclude the assumption that it rests upon some rational basis”). Such instances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are suitably rare. The claims of arbitrariness that mark almost all instances of unenumerated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substantive rights are those resting on “certain interests </w:t>
      </w:r>
      <w:proofErr w:type="spellStart"/>
      <w:r w:rsidRPr="000A7964">
        <w:rPr>
          <w:rFonts w:ascii="Times New Roman" w:hAnsi="Times New Roman" w:cs="Times New Roman"/>
          <w:sz w:val="24"/>
          <w:szCs w:val="24"/>
        </w:rPr>
        <w:t>requir</w:t>
      </w:r>
      <w:proofErr w:type="spellEnd"/>
      <w:r w:rsidRPr="000A7964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0A7964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Pr="000A7964">
        <w:rPr>
          <w:rFonts w:ascii="Times New Roman" w:hAnsi="Times New Roman" w:cs="Times New Roman"/>
          <w:sz w:val="24"/>
          <w:szCs w:val="24"/>
        </w:rPr>
        <w:t>] particularly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careful scrutiny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of the state needs asserted to justify their abridgment.” </w:t>
      </w:r>
      <w:r w:rsidRPr="000A7964">
        <w:rPr>
          <w:rFonts w:ascii="Times New Roman" w:hAnsi="Times New Roman" w:cs="Times New Roman"/>
          <w:i/>
          <w:sz w:val="24"/>
          <w:szCs w:val="24"/>
        </w:rPr>
        <w:t>Skinner v. Oklahoma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(1942); </w:t>
      </w:r>
      <w:proofErr w:type="spellStart"/>
      <w:r w:rsidRPr="000A7964">
        <w:rPr>
          <w:rFonts w:ascii="Times New Roman" w:hAnsi="Times New Roman" w:cs="Times New Roman"/>
          <w:i/>
          <w:sz w:val="24"/>
          <w:szCs w:val="24"/>
        </w:rPr>
        <w:t>Bolling</w:t>
      </w:r>
      <w:proofErr w:type="spellEnd"/>
      <w:r w:rsidRPr="000A7964">
        <w:rPr>
          <w:rFonts w:ascii="Times New Roman" w:hAnsi="Times New Roman" w:cs="Times New Roman"/>
          <w:i/>
          <w:sz w:val="24"/>
          <w:szCs w:val="24"/>
        </w:rPr>
        <w:t xml:space="preserve"> v. Sharpe</w:t>
      </w:r>
      <w:r w:rsidRPr="000A7964">
        <w:rPr>
          <w:rFonts w:ascii="Times New Roman" w:hAnsi="Times New Roman" w:cs="Times New Roman"/>
          <w:sz w:val="24"/>
          <w:szCs w:val="24"/>
        </w:rPr>
        <w:t xml:space="preserve"> (1954); that is, interests in liberty sufficiently important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be judged “fundamental.” . . . In the face of an interest this powerful a State may not rest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on threshold rationality or a presumption of constitutionality, but may prevail only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ground of an interest sufficiently compelling to place within the realm of the reasonable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 refusal to recognize the individual right asserted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A7964" w:rsidRP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This approach calls for a court to assess the relative “weights” or dignities of the contending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interests, and to this extent the judicial method is familiar to the common law.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Common law method is subject, however, to two important constraints in the hands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 court engaged in substantive due process review. First, such a court is bound to confine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values that it recognizes to those truly deserving constitutional stature, either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those expressed in constitutional text, or those exemplified by “the traditions from which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[the Nation] developed,” or revealed by contrast with “the traditions from which it broke.”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i/>
          <w:sz w:val="24"/>
          <w:szCs w:val="24"/>
        </w:rPr>
        <w:t>Poe</w:t>
      </w:r>
      <w:r w:rsidRPr="000A7964">
        <w:rPr>
          <w:rFonts w:ascii="Times New Roman" w:hAnsi="Times New Roman" w:cs="Times New Roman"/>
          <w:sz w:val="24"/>
          <w:szCs w:val="24"/>
        </w:rPr>
        <w:t xml:space="preserve"> (Harlan, J., dissenting). “‘We may not draw on our merely personal and private notions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disregard the limits . . . derived from considerations that are fused in the whole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nature of </w:t>
      </w:r>
      <w:r>
        <w:rPr>
          <w:rFonts w:ascii="Times New Roman" w:hAnsi="Times New Roman" w:cs="Times New Roman"/>
          <w:sz w:val="24"/>
          <w:szCs w:val="24"/>
        </w:rPr>
        <w:t xml:space="preserve">our judicial process . . . [,] </w:t>
      </w:r>
      <w:r w:rsidRPr="000A7964">
        <w:rPr>
          <w:rFonts w:ascii="Times New Roman" w:hAnsi="Times New Roman" w:cs="Times New Roman"/>
          <w:sz w:val="24"/>
          <w:szCs w:val="24"/>
        </w:rPr>
        <w:t>considerations deeply rooted in reason and in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compelling traditions of the legal profession.’” </w:t>
      </w:r>
      <w:r w:rsidRPr="000A7964">
        <w:rPr>
          <w:rFonts w:ascii="Times New Roman" w:hAnsi="Times New Roman" w:cs="Times New Roman"/>
          <w:i/>
          <w:sz w:val="24"/>
          <w:szCs w:val="24"/>
        </w:rPr>
        <w:t>Id.</w:t>
      </w:r>
    </w:p>
    <w:p w:rsid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The second constraint, again, simply reflects the fact that constitutional review, not judicial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lawmaking, is a court’s business here. The weighing or valuing of contending interests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 this sphere is only the first step, forming the basis for determining whether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statute in question falls inside or outside the zone of what is reasonable in the way it resolves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conflict between the interests of state and individual. It is no justification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judicial intervention merely to identify a reasonable resolution of contending values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differs from the terms of the legislation under review. It is only when the legislation’s justifying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principle, critically valued, is so far from being commensurate with the individual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interest as to be arbitrarily or pointlessly applied that the statute must give way. Only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if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this standard points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against the statute can the individual claimant be said to have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constitutional right.</w:t>
      </w:r>
    </w:p>
    <w:p w:rsidR="000A7964" w:rsidRP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0A796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 xml:space="preserve">The </w:t>
      </w:r>
      <w:r w:rsidRPr="000A7964">
        <w:rPr>
          <w:rFonts w:ascii="Times New Roman" w:hAnsi="Times New Roman" w:cs="Times New Roman"/>
          <w:i/>
          <w:sz w:val="24"/>
          <w:szCs w:val="24"/>
        </w:rPr>
        <w:t>Poe</w:t>
      </w:r>
      <w:r w:rsidRPr="000A7964">
        <w:rPr>
          <w:rFonts w:ascii="Times New Roman" w:hAnsi="Times New Roman" w:cs="Times New Roman"/>
          <w:sz w:val="24"/>
          <w:szCs w:val="24"/>
        </w:rPr>
        <w:t xml:space="preserve"> dissent thus reminds us of the nature of review for reasonableness or arbitrariness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the limitations entailed by it. But the opinion cautions against the repetition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of past error in another way as well, more by its example than by any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particular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statement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of constitutional method: it reminds us that the process of substantive review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by reasoned judgment, </w:t>
      </w:r>
      <w:r w:rsidRPr="000A7964">
        <w:rPr>
          <w:rFonts w:ascii="Times New Roman" w:hAnsi="Times New Roman" w:cs="Times New Roman"/>
          <w:sz w:val="24"/>
          <w:szCs w:val="24"/>
        </w:rPr>
        <w:lastRenderedPageBreak/>
        <w:t>is one of close criticism going to the details of the opposing interests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to their relationships with the historically recognized principles that lend them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weight or value.</w:t>
      </w:r>
    </w:p>
    <w:p w:rsidR="000A7964" w:rsidRP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 xml:space="preserve">Although the </w:t>
      </w:r>
      <w:r w:rsidRPr="00EB09D9">
        <w:rPr>
          <w:rFonts w:ascii="Times New Roman" w:hAnsi="Times New Roman" w:cs="Times New Roman"/>
          <w:i/>
          <w:sz w:val="24"/>
          <w:szCs w:val="24"/>
        </w:rPr>
        <w:t xml:space="preserve">Poe </w:t>
      </w:r>
      <w:r w:rsidRPr="000A7964">
        <w:rPr>
          <w:rFonts w:ascii="Times New Roman" w:hAnsi="Times New Roman" w:cs="Times New Roman"/>
          <w:sz w:val="24"/>
          <w:szCs w:val="24"/>
        </w:rPr>
        <w:t>dissent disclaims the possibility of any general formula for due process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analysis (beyond the basic analytic structure just described), Justice Harlan of course assumed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that adjudication under the Due Process Clauses is like any other instance of judgment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dependent on common-law method,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being more or less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persuasive according to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usual canons of critical discourse. When identifying and assessing the competing interests</w:t>
      </w:r>
      <w:r w:rsidR="00EB09D9">
        <w:rPr>
          <w:rFonts w:ascii="Times New Roman" w:hAnsi="Times New Roman" w:cs="Times New Roman"/>
          <w:sz w:val="24"/>
          <w:szCs w:val="24"/>
        </w:rPr>
        <w:t xml:space="preserve"> of liberty and authority, for </w:t>
      </w:r>
      <w:r w:rsidRPr="000A7964">
        <w:rPr>
          <w:rFonts w:ascii="Times New Roman" w:hAnsi="Times New Roman" w:cs="Times New Roman"/>
          <w:sz w:val="24"/>
          <w:szCs w:val="24"/>
        </w:rPr>
        <w:t>example, the breadth of expression that a litigant or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 judge selects in stating the competing principles will have much to do with the outcome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may be dispositive. As in any process of rational argumentation, we recognize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that when a generally accepted principle is challenged, the broader the attack the less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likely it is to succeed. The principle’s defenders will, indeed, often try to characterize any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challenge as just such a broadside, perhaps by couching the defense as if a broadside attack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had occurred.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So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the Court in </w:t>
      </w:r>
      <w:r w:rsidRPr="00EB09D9">
        <w:rPr>
          <w:rFonts w:ascii="Times New Roman" w:hAnsi="Times New Roman" w:cs="Times New Roman"/>
          <w:i/>
          <w:sz w:val="24"/>
          <w:szCs w:val="24"/>
        </w:rPr>
        <w:t>Dred Scott</w:t>
      </w:r>
      <w:r w:rsidRPr="000A7964">
        <w:rPr>
          <w:rFonts w:ascii="Times New Roman" w:hAnsi="Times New Roman" w:cs="Times New Roman"/>
          <w:sz w:val="24"/>
          <w:szCs w:val="24"/>
        </w:rPr>
        <w:t xml:space="preserve"> (1857) treated prohibition of slavery in the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Territories as nothing less than a general assault on the concept of property.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Just as results in substantive due process cases are tied to the selections of statements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the competing interests, the acceptability of the results is a function of the good reasons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for the selections made. It is here that the value of common-law method becomes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apparent, for the usual thinking of the common law is suspicious of the all-or-nothing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analysis that tends to produce legal petrification instead of an evolving boundary between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domains of old principles. Common-law method tends to pay respect instead to detail,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seeking to understand old principles afresh by new examples and new counterexamples.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The “tradition is a living thing,” </w:t>
      </w:r>
      <w:r w:rsidRPr="00EB09D9">
        <w:rPr>
          <w:rFonts w:ascii="Times New Roman" w:hAnsi="Times New Roman" w:cs="Times New Roman"/>
          <w:i/>
          <w:sz w:val="24"/>
          <w:szCs w:val="24"/>
        </w:rPr>
        <w:t>Poe</w:t>
      </w:r>
      <w:r w:rsidRPr="000A7964">
        <w:rPr>
          <w:rFonts w:ascii="Times New Roman" w:hAnsi="Times New Roman" w:cs="Times New Roman"/>
          <w:sz w:val="24"/>
          <w:szCs w:val="24"/>
        </w:rPr>
        <w:t xml:space="preserve"> (Harlan, J., dissenting), albeit one that moves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by moderate steps carefully taken. “The decision of an apparently novel claim must depend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on grounds which follow closely on well-accepted principles and criteria. The new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decision must take its place in relation to what went before and further [cut] a channel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for what is to come.” </w:t>
      </w:r>
      <w:r w:rsidRPr="00EB09D9">
        <w:rPr>
          <w:rFonts w:ascii="Times New Roman" w:hAnsi="Times New Roman" w:cs="Times New Roman"/>
          <w:i/>
          <w:sz w:val="24"/>
          <w:szCs w:val="24"/>
        </w:rPr>
        <w:t>Id.</w:t>
      </w:r>
      <w:r w:rsidRPr="000A7964">
        <w:rPr>
          <w:rFonts w:ascii="Times New Roman" w:hAnsi="Times New Roman" w:cs="Times New Roman"/>
          <w:sz w:val="24"/>
          <w:szCs w:val="24"/>
        </w:rPr>
        <w:t xml:space="preserve"> Exact analysis and characterization of any due process claim is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critical to the method and to the result.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 xml:space="preserve">So, in </w:t>
      </w:r>
      <w:r w:rsidRPr="00EB09D9">
        <w:rPr>
          <w:rFonts w:ascii="Times New Roman" w:hAnsi="Times New Roman" w:cs="Times New Roman"/>
          <w:i/>
          <w:sz w:val="24"/>
          <w:szCs w:val="24"/>
        </w:rPr>
        <w:t>Poe</w:t>
      </w:r>
      <w:r w:rsidRPr="000A7964">
        <w:rPr>
          <w:rFonts w:ascii="Times New Roman" w:hAnsi="Times New Roman" w:cs="Times New Roman"/>
          <w:sz w:val="24"/>
          <w:szCs w:val="24"/>
        </w:rPr>
        <w:t>, Justice Harlan viewed it as essential to the p</w:t>
      </w:r>
      <w:r w:rsidR="00EB09D9">
        <w:rPr>
          <w:rFonts w:ascii="Times New Roman" w:hAnsi="Times New Roman" w:cs="Times New Roman"/>
          <w:sz w:val="24"/>
          <w:szCs w:val="24"/>
        </w:rPr>
        <w:t xml:space="preserve">laintiffs’ claimed right to use </w:t>
      </w:r>
      <w:r w:rsidRPr="000A7964">
        <w:rPr>
          <w:rFonts w:ascii="Times New Roman" w:hAnsi="Times New Roman" w:cs="Times New Roman"/>
          <w:sz w:val="24"/>
          <w:szCs w:val="24"/>
        </w:rPr>
        <w:t>contraceptives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that they sought to do so within the privacy of the marital bedroom. This detail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in fact served two crucial and complementary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functions, and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provides a lesson for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today. It rescued the individuals’ claim from a breadth that would have threatened all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state regulation of contraception or intimate relations; extramarital intimacy, no matter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how privately practiced, was outside the scope of the right Justice Harlan would have recognized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 that case. It was, moreover, this same restriction that allowed the interest to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be valued as an aspect of a broader liberty to be free from all unreasonable intrusions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into the privacy of the home and the family life within it, a liberty exemplified in constitutional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provisions such as the 3rd and 4th Amendments, in prior decisions of the Court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involving unreasonable intrusions into the home and family life, and in the then-prevailing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status of marriage as the sole lawful locus of intimate relations.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 xml:space="preserve">On the other side of the balance, the State’s interest in </w:t>
      </w:r>
      <w:r w:rsidRPr="00EB09D9">
        <w:rPr>
          <w:rFonts w:ascii="Times New Roman" w:hAnsi="Times New Roman" w:cs="Times New Roman"/>
          <w:i/>
          <w:sz w:val="24"/>
          <w:szCs w:val="24"/>
        </w:rPr>
        <w:t>Poe</w:t>
      </w:r>
      <w:r w:rsidRPr="000A7964">
        <w:rPr>
          <w:rFonts w:ascii="Times New Roman" w:hAnsi="Times New Roman" w:cs="Times New Roman"/>
          <w:sz w:val="24"/>
          <w:szCs w:val="24"/>
        </w:rPr>
        <w:t xml:space="preserve"> was not fairly characterized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simply as preserving sexual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morality, or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doing so by regulating contraceptive devices. Just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as some of the earlier cases went astray by speaking without nuance of individual interests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in property or autonomy to contract for labor, so the State’s asserted interest in </w:t>
      </w:r>
      <w:r w:rsidRPr="00EB09D9">
        <w:rPr>
          <w:rFonts w:ascii="Times New Roman" w:hAnsi="Times New Roman" w:cs="Times New Roman"/>
          <w:i/>
          <w:sz w:val="24"/>
          <w:szCs w:val="24"/>
        </w:rPr>
        <w:t>Poe</w:t>
      </w:r>
      <w:r w:rsidRPr="000A7964">
        <w:rPr>
          <w:rFonts w:ascii="Times New Roman" w:hAnsi="Times New Roman" w:cs="Times New Roman"/>
          <w:sz w:val="24"/>
          <w:szCs w:val="24"/>
        </w:rPr>
        <w:t xml:space="preserve"> was not</w:t>
      </w:r>
      <w:r w:rsidR="00EB09D9">
        <w:rPr>
          <w:rFonts w:ascii="Times New Roman" w:hAnsi="Times New Roman" w:cs="Times New Roman"/>
          <w:sz w:val="24"/>
          <w:szCs w:val="24"/>
        </w:rPr>
        <w:t xml:space="preserve"> immune to </w:t>
      </w:r>
      <w:r w:rsidRPr="000A7964">
        <w:rPr>
          <w:rFonts w:ascii="Times New Roman" w:hAnsi="Times New Roman" w:cs="Times New Roman"/>
          <w:sz w:val="24"/>
          <w:szCs w:val="24"/>
        </w:rPr>
        <w:t>distinctions turning (at least potentially) on the precise purpose being pursued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and the </w:t>
      </w:r>
      <w:r w:rsidRPr="000A7964">
        <w:rPr>
          <w:rFonts w:ascii="Times New Roman" w:hAnsi="Times New Roman" w:cs="Times New Roman"/>
          <w:sz w:val="24"/>
          <w:szCs w:val="24"/>
        </w:rPr>
        <w:lastRenderedPageBreak/>
        <w:t>collateral consequences of the means chosen. It was assumed that the State might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legitimately enforce limits on the use of contraceptives through laws regulating divorce</w:t>
      </w:r>
      <w:r w:rsidR="00EB09D9">
        <w:rPr>
          <w:rFonts w:ascii="Times New Roman" w:hAnsi="Times New Roman" w:cs="Times New Roman"/>
          <w:sz w:val="24"/>
          <w:szCs w:val="24"/>
        </w:rPr>
        <w:t xml:space="preserve"> and annulment, or </w:t>
      </w:r>
      <w:r w:rsidRPr="000A7964">
        <w:rPr>
          <w:rFonts w:ascii="Times New Roman" w:hAnsi="Times New Roman" w:cs="Times New Roman"/>
          <w:sz w:val="24"/>
          <w:szCs w:val="24"/>
        </w:rPr>
        <w:t>even through its tax policy, but not necessarily be justified in criminalizing</w:t>
      </w:r>
      <w:r w:rsidR="00EB09D9">
        <w:rPr>
          <w:rFonts w:ascii="Times New Roman" w:hAnsi="Times New Roman" w:cs="Times New Roman"/>
          <w:sz w:val="24"/>
          <w:szCs w:val="24"/>
        </w:rPr>
        <w:t xml:space="preserve"> the same practice in </w:t>
      </w:r>
      <w:r w:rsidRPr="000A7964">
        <w:rPr>
          <w:rFonts w:ascii="Times New Roman" w:hAnsi="Times New Roman" w:cs="Times New Roman"/>
          <w:sz w:val="24"/>
          <w:szCs w:val="24"/>
        </w:rPr>
        <w:t>the marital bedroom, which would entail the consequence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authorizing state enquiry into the intimate relations of a married couple who chose to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close their door.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P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The same insistence on exactitude lies behind questions, in current terminology, about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proper level of generality at which to analyze claims and counter-claims, and the demand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for fitness and proper tailoring of a restrictive statute is just another way of testing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legitimacy of the generality at which the govern</w:t>
      </w:r>
      <w:r w:rsidR="00EB09D9">
        <w:rPr>
          <w:rFonts w:ascii="Times New Roman" w:hAnsi="Times New Roman" w:cs="Times New Roman"/>
          <w:sz w:val="24"/>
          <w:szCs w:val="24"/>
        </w:rPr>
        <w:t xml:space="preserve">ment sets up its justification. </w:t>
      </w:r>
      <w:r w:rsidRPr="000A7964">
        <w:rPr>
          <w:rFonts w:ascii="Times New Roman" w:hAnsi="Times New Roman" w:cs="Times New Roman"/>
          <w:sz w:val="24"/>
          <w:szCs w:val="24"/>
        </w:rPr>
        <w:t>We may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therefore classify Justice Harlan’s example of proper analysis in any of these ways: as applying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concepts of normal critical reasoning, as pointing to the need to attend to the levels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generality at which countervailing interests are stated, or as examining the concrete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application of principles for fitness with their own ostensible justifications. But whatever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categories in which we place the dissent’s example, it stands in marked contrast to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earlier cases whose reasoning was marked by comparatively less discrimination, and it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points to the importance of evaluating the claims of the parties now before us with comparable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detail. For here we are faced with an individual claim not to a right on the part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just anyone to help anyone else commit suicide under any circumstances, but to the right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a narrow class to help others also in a narrow class under a set of limited circumstances.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the claimants are met with the State’s assertion, among others, th</w:t>
      </w:r>
      <w:r w:rsidR="00EB09D9">
        <w:rPr>
          <w:rFonts w:ascii="Times New Roman" w:hAnsi="Times New Roman" w:cs="Times New Roman"/>
          <w:sz w:val="24"/>
          <w:szCs w:val="24"/>
        </w:rPr>
        <w:t xml:space="preserve">at rights of </w:t>
      </w:r>
      <w:r w:rsidRPr="000A7964">
        <w:rPr>
          <w:rFonts w:ascii="Times New Roman" w:hAnsi="Times New Roman" w:cs="Times New Roman"/>
          <w:sz w:val="24"/>
          <w:szCs w:val="24"/>
        </w:rPr>
        <w:t>such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narrow scope cannot be recognized without jeopardy to individuals whom the State may</w:t>
      </w:r>
    </w:p>
    <w:p w:rsid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concededly protect through its regulations.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IV-A. Respondents claim that a patient facing imminent death, who anticipates physical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suffering and indignity, and is capable of responsible and voluntary choice, should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have a right to a physician’s assistance in providing counsel and drugs to be administered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by the patient to end life promptly. They accordingly claim that a physician must have the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corresponding right to provide such aid, contrary to the provisions of Wash. Rev. Code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§ 9A.36.060 (1994). I do not understand the argument to rest on any assumption that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rights either to suicide or to assistance in committing it are historically based as such. Respondents,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rather, acknowledge the prohibition of each historically, but rely on the fact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that to a substantial extent the State has repudiated that history. The result of this, respondents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say, is to open the door to claims of such a patient to be accorded one of the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options open to those with different, traditionally cognizable claims to autonomy in deciding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how their bodies and minds should be treated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IV-A-1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It is, indeed, in the abortion cases that the most telling recognitions of the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importance of bodily integrity and the concomitant tradition of medical assistance have</w:t>
      </w:r>
      <w:r w:rsidR="00EB09D9">
        <w:rPr>
          <w:rFonts w:ascii="Times New Roman" w:hAnsi="Times New Roman" w:cs="Times New Roman"/>
          <w:sz w:val="24"/>
          <w:szCs w:val="24"/>
        </w:rPr>
        <w:t xml:space="preserve">   </w:t>
      </w:r>
      <w:r w:rsidRPr="000A7964">
        <w:rPr>
          <w:rFonts w:ascii="Times New Roman" w:hAnsi="Times New Roman" w:cs="Times New Roman"/>
          <w:sz w:val="24"/>
          <w:szCs w:val="24"/>
        </w:rPr>
        <w:t>occurred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 xml:space="preserve">The analogies between the abortion cases and this one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several. Even though the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State has a legitimate interest in discouraging abortion, the Court recognized a woman’s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right to a physician’s counsel and care. Like the decision to commit suicide, the decision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abort potential life can be made irresponsibly and under the influence of others, and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yet the Court has held in the abortion cases that physicians are fit assistants. Without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physic</w:t>
      </w:r>
      <w:r w:rsidR="00EB09D9">
        <w:rPr>
          <w:rFonts w:ascii="Times New Roman" w:hAnsi="Times New Roman" w:cs="Times New Roman"/>
          <w:sz w:val="24"/>
          <w:szCs w:val="24"/>
        </w:rPr>
        <w:t xml:space="preserve">ian assistance in abortion, the </w:t>
      </w:r>
      <w:r w:rsidRPr="000A7964">
        <w:rPr>
          <w:rFonts w:ascii="Times New Roman" w:hAnsi="Times New Roman" w:cs="Times New Roman"/>
          <w:sz w:val="24"/>
          <w:szCs w:val="24"/>
        </w:rPr>
        <w:t>woman’s right would have too often amounted to nothing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more than a right to self-mutilation, and without a physician to assist in the suicide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the dying, th</w:t>
      </w:r>
      <w:r w:rsidR="00EB09D9">
        <w:rPr>
          <w:rFonts w:ascii="Times New Roman" w:hAnsi="Times New Roman" w:cs="Times New Roman"/>
          <w:sz w:val="24"/>
          <w:szCs w:val="24"/>
        </w:rPr>
        <w:t xml:space="preserve">e patient’s right will often be </w:t>
      </w:r>
      <w:r w:rsidRPr="000A7964">
        <w:rPr>
          <w:rFonts w:ascii="Times New Roman" w:hAnsi="Times New Roman" w:cs="Times New Roman"/>
          <w:sz w:val="24"/>
          <w:szCs w:val="24"/>
        </w:rPr>
        <w:lastRenderedPageBreak/>
        <w:t>confined to crude methods of causing death,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most shocking and painful to the decedent’s survivors.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There is, finally, one more reason for claiming that a physician’s assistance here would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fall within the accepted tradition of medical care in our society, and the abortion cases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are only the most obvious illustration of the further point. While the Court has held that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performance of abortion procedures can be restricted to physicians, the Court’s opinion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in </w:t>
      </w:r>
      <w:r w:rsidRPr="00EB09D9">
        <w:rPr>
          <w:rFonts w:ascii="Times New Roman" w:hAnsi="Times New Roman" w:cs="Times New Roman"/>
          <w:i/>
          <w:sz w:val="24"/>
          <w:szCs w:val="24"/>
        </w:rPr>
        <w:t>Roe v. Wade</w:t>
      </w:r>
      <w:r w:rsidRPr="000A7964">
        <w:rPr>
          <w:rFonts w:ascii="Times New Roman" w:hAnsi="Times New Roman" w:cs="Times New Roman"/>
          <w:sz w:val="24"/>
          <w:szCs w:val="24"/>
        </w:rPr>
        <w:t xml:space="preserve"> (1973) recognized the doctors’ role in yet another way. For, in the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course of holding that the decision to perform an abortion called for a physician’s assistance,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Court recognized that the good physician is not just a mechanic of the human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body whose services have no bearing on a person’s moral choices, but one who does more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than treat symptoms, one who ministers to the patient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Its value is surely as apparent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here as in the abortion cases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IV-B. The State has put forward several interests to justify the Washington law as applied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physicians treating terminally ill patients, even those competent to make responsible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choices: protecting life generally, discouraging suicide even if knowing and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voluntary, and protecting terminally ill patients from involuntary suicide and euthanasia,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both voluntary and nonvoluntary.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P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It is not necessary to discuss the exact strengths of the first two claims of justification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 the present circumstances, for the third is dispositive for me. That third justification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is different from the first two, for it addresses specific features of respondents’ claim,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it opposes that claim not with a moral judgment contrary to respondents’, but with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a recognized state interest in the protection of </w:t>
      </w:r>
      <w:proofErr w:type="spellStart"/>
      <w:r w:rsidRPr="000A7964">
        <w:rPr>
          <w:rFonts w:ascii="Times New Roman" w:hAnsi="Times New Roman" w:cs="Times New Roman"/>
          <w:sz w:val="24"/>
          <w:szCs w:val="24"/>
        </w:rPr>
        <w:t>nonresponsible</w:t>
      </w:r>
      <w:proofErr w:type="spellEnd"/>
      <w:r w:rsidRPr="000A7964">
        <w:rPr>
          <w:rFonts w:ascii="Times New Roman" w:hAnsi="Times New Roman" w:cs="Times New Roman"/>
          <w:sz w:val="24"/>
          <w:szCs w:val="24"/>
        </w:rPr>
        <w:t xml:space="preserve"> individuals and those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who do not stand in relation either to death or to their physicians as do the patients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whom respondents describe. The State claims interests in protecting patients from mistakenly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involuntarily deciding to end their lives, and in guarding against both voluntary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involuntary euthanasia. Leaving aside any difficulties in coming to a clear concept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imminent death, mistaken decisions may result from inadequate palliative care or a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terminal prognosis that turns out to be error; coercion and abuse may stem from the large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medical bills that family members cannot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bear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or unreimbursed hospitals decline to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shoulder. Voluntary and involuntary euthanasia may result once doctors are authorized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prescribe lethal medication in the first instance, for they might find it pointless to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distinguish between patients who administer their own fatal drugs and those who wish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not to, and their compassion for those who suffer may obscure the distinction between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those who ask for death and those who may be unable to request it. The argument is that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 progression would occur, obscuring the line between the ill and the dying, and between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responsible and the unduly influenced, until ultimately doctors and perhaps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others would abuse a limited freedom to aid suicides by yielding to the impulse to end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another’s suffering under conditions going beyond the narrow limits the respondents propose.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State thus argues, essentially, that respondents’ claim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is not as narrow as it sounds,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simply because no recognition of the interest they assert could be limited to vindicating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those interests and affecting no others. The State says that the claim, </w:t>
      </w:r>
      <w:r w:rsidR="00EB09D9">
        <w:rPr>
          <w:rFonts w:ascii="Times New Roman" w:hAnsi="Times New Roman" w:cs="Times New Roman"/>
          <w:sz w:val="24"/>
          <w:szCs w:val="24"/>
        </w:rPr>
        <w:t xml:space="preserve">in practical </w:t>
      </w:r>
      <w:r w:rsidRPr="000A7964">
        <w:rPr>
          <w:rFonts w:ascii="Times New Roman" w:hAnsi="Times New Roman" w:cs="Times New Roman"/>
          <w:sz w:val="24"/>
          <w:szCs w:val="24"/>
        </w:rPr>
        <w:t>effect,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would entail consequences that the State could, without doubt, legitimately act to</w:t>
      </w:r>
    </w:p>
    <w:p w:rsidR="000A7964" w:rsidRDefault="000A7964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prevent.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EB09D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The mere assertion that the terminally sick might be pressured into suicide decisions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by close friends and family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members would not alone be very telling.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Of course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that is possible,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not only because the costs of care might be more than family members could bear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but simply </w:t>
      </w:r>
      <w:r w:rsidRPr="000A7964">
        <w:rPr>
          <w:rFonts w:ascii="Times New Roman" w:hAnsi="Times New Roman" w:cs="Times New Roman"/>
          <w:sz w:val="24"/>
          <w:szCs w:val="24"/>
        </w:rPr>
        <w:lastRenderedPageBreak/>
        <w:t>because they might naturally wish to see an end of suffering for someone they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love. But one of the points of restricting any right of assistance to physicians would be to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condition the right on an exercise of judgment by someone qualified to assess the patient’s</w:t>
      </w:r>
      <w:r w:rsidR="00EB09D9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responsible capacity and detect the influence of those outside the medical relationship.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1E76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The State, however, goes further, to argue that dependence on the vigilance of physicians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will not be enough. First, the lines proposed here (particularly the requirement of a knowing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voluntary decision by the patient) would be more difficult to draw than the lines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that have limited other recently recognized due process rights. Limiting a state from prosecuting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use of artificial contraceptives by married couples posed no practical threat to the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State’s capacity to regulate contraceptives in other ways that were assumed at the time of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1E7615">
        <w:rPr>
          <w:rFonts w:ascii="Times New Roman" w:hAnsi="Times New Roman" w:cs="Times New Roman"/>
          <w:i/>
          <w:sz w:val="24"/>
          <w:szCs w:val="24"/>
        </w:rPr>
        <w:t>Poe</w:t>
      </w:r>
      <w:r w:rsidRPr="000A7964">
        <w:rPr>
          <w:rFonts w:ascii="Times New Roman" w:hAnsi="Times New Roman" w:cs="Times New Roman"/>
          <w:sz w:val="24"/>
          <w:szCs w:val="24"/>
        </w:rPr>
        <w:t xml:space="preserve"> to be legitimate; the trimester measurements of </w:t>
      </w:r>
      <w:r w:rsidRPr="001E7615">
        <w:rPr>
          <w:rFonts w:ascii="Times New Roman" w:hAnsi="Times New Roman" w:cs="Times New Roman"/>
          <w:i/>
          <w:sz w:val="24"/>
          <w:szCs w:val="24"/>
        </w:rPr>
        <w:t>Roe</w:t>
      </w:r>
      <w:r w:rsidRPr="000A7964">
        <w:rPr>
          <w:rFonts w:ascii="Times New Roman" w:hAnsi="Times New Roman" w:cs="Times New Roman"/>
          <w:sz w:val="24"/>
          <w:szCs w:val="24"/>
        </w:rPr>
        <w:t xml:space="preserve"> and the viability determination of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1E7615">
        <w:rPr>
          <w:rFonts w:ascii="Times New Roman" w:hAnsi="Times New Roman" w:cs="Times New Roman"/>
          <w:i/>
          <w:sz w:val="24"/>
          <w:szCs w:val="24"/>
        </w:rPr>
        <w:t>Casey</w:t>
      </w:r>
      <w:r w:rsidRPr="000A7964">
        <w:rPr>
          <w:rFonts w:ascii="Times New Roman" w:hAnsi="Times New Roman" w:cs="Times New Roman"/>
          <w:sz w:val="24"/>
          <w:szCs w:val="24"/>
        </w:rPr>
        <w:t xml:space="preserve"> were easy to make with a real degree of certainty. But the knowing and responsible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mind is harder to assess. Second, this difficulty could become the greater by combining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with another fact within the realm of plausibility, that physicians simply would not be assiduous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preserve the line. They have compassion, and those who would be willing to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assist in suicide at all might be the most susceptible to the wishes of a patient, whether the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patient was technically quite responsible or not. Physicians, and their hospitals, have their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own financial incentives, too, in this new age of managed care.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Whether acting from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compassion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or under some other influence, a physician who would provide a drug for a patient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administer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might well go the further step of administering the drug himself; so, the barrier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between assisted suicide and euthanasia could become porous, and the line between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voluntary and involuntary euthanasia as well. The case for the slippery slope is fairly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made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out here, not because recognizing one due process right would leave a court with no principled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basis to avoid recognizing another, but because there is a plausible case that the right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claimed would not be readily containable by reference to facts about the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mind that are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matters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difficult judgment, or by gatekeepers who are subject to temptation, noble or not.</w:t>
      </w:r>
    </w:p>
    <w:p w:rsidR="00EB09D9" w:rsidRPr="000A7964" w:rsidRDefault="00EB09D9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1E76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Respondents propose an answer to all this, the answer of state regulation with teeth.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Legislation proposed in several States, for example, would authorize physician-assisted suicide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but require two qualified physicians to confirm the patient’s diagnosis, prognosis,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competence; and would mandate that the patient make repeated requests witnessed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by at least two others over a specified timespan; and would impose reporting requirements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and criminal penalties for various acts of coercion.</w:t>
      </w:r>
    </w:p>
    <w:p w:rsidR="001E7615" w:rsidRPr="000A7964" w:rsidRDefault="001E7615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1E76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But at least at this moment there are reasons for caution in predicting the effectiveness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the teeth proposed. Respondents’ proposals, as it turns out, sound much like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guidelines now in place in the Netherlands, the only place where experience with physician-assisted suicide and euthanasia has yielded empirical evidence about how such regulations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might affect actual practice. Dutch physicians must engage in consultation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before proceeding, and must decide whether the patient’s decision is voluntary, well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considered, and stable, whether the request to die is enduring and made more than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once, and whether the patient’s future will involve unacceptable suffering. There is,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however, a substantial dispute today about what the Dutch experience shows. Some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commentators </w:t>
      </w:r>
      <w:proofErr w:type="spellStart"/>
      <w:r w:rsidRPr="000A7964">
        <w:rPr>
          <w:rFonts w:ascii="Times New Roman" w:hAnsi="Times New Roman" w:cs="Times New Roman"/>
          <w:sz w:val="24"/>
          <w:szCs w:val="24"/>
        </w:rPr>
        <w:t>marshall</w:t>
      </w:r>
      <w:proofErr w:type="spellEnd"/>
      <w:r w:rsidRPr="000A7964">
        <w:rPr>
          <w:rFonts w:ascii="Times New Roman" w:hAnsi="Times New Roman" w:cs="Times New Roman"/>
          <w:sz w:val="24"/>
          <w:szCs w:val="24"/>
        </w:rPr>
        <w:t xml:space="preserve"> evidence that the Dutch guidelines have in practice failed to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protect patients from involuntary euthanasia and have been violated with impunity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This evidence is contested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The day may come when we can say with some assurance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which side is right, but for now it is the substantiality of the factual disagreement, and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lastRenderedPageBreak/>
        <w:t>the alternatives for resolving it, that matter. They are, for me, dispositive of the due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process claim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at this time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>.</w:t>
      </w:r>
    </w:p>
    <w:p w:rsidR="001E7615" w:rsidRPr="000A7964" w:rsidRDefault="001E7615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1E76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I take it that the basic concept of judicial review with its possible displacement of legislative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judgment bars any finding that a legislature has acted arbitrarily when the following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conditions are met: there is a serious factual controversy over the feasibility of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recognizing the claimed right without at the same time making it impossible for the State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engage in an undoubtedly legitimate exercise of power; facts necessary to resolve the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controversy are not readily ascertainable through the judicial process; but they are more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readily subject to discovery through legislative factfinding and experimentation. It is assumed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 this case, and must be, that a State’s interest in protecting those unable to make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responsible decisions and those who make no decisions at all entitles the State to bar aid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any but a knowing and responsible person intending suicide, and to prohibit euthanasia.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How, and how far, a State should act in that interest are judgments for the State, but the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legitimacy of its action to deny a physician the option to aid any but the knowing and responsible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is beyond question.</w:t>
      </w:r>
    </w:p>
    <w:p w:rsidR="001E7615" w:rsidRPr="000A7964" w:rsidRDefault="001E7615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1E76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The capacity of the State to protect the others if respondents were to prevail is, however,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subject to some genuine question, underscored by the responsible disagreement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over the basic facts of the Dutch experience. This factual controversy is not open to a judicial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resolution with any substantial degree of assurance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at this time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>. It is not, of course,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that any controversy about the factual predicate of a due process claim disqualifies a court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from resolving it. Courts can recognize captiousness, and most factual issues can be settled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 a trial court. At this point, however, the factual issue at the heart of this case does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not appear to be one of those. The principal enquiry </w:t>
      </w:r>
      <w:proofErr w:type="gramStart"/>
      <w:r w:rsidRPr="000A7964">
        <w:rPr>
          <w:rFonts w:ascii="Times New Roman" w:hAnsi="Times New Roman" w:cs="Times New Roman"/>
          <w:sz w:val="24"/>
          <w:szCs w:val="24"/>
        </w:rPr>
        <w:t>at the moment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is into the Dutch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experience, and I question whether an independent front-line investigation into the facts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a foreign country’s legal administration can be soundly undertaken through American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courtroom litigation. While an extensive literature on any subject can raise the hopes for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judicial understanding, the literature on this subject is only nascent. Since there is little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experience directly bearing on the issue, the most that can be said is that whichever way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Court might rule today, events could overtake its assumptions, as experimentation in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some jurisdictions confirmed or discredited the concerns about progression from assisted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suicide to euthanasia.</w:t>
      </w:r>
    </w:p>
    <w:p w:rsidR="001E7615" w:rsidRPr="000A7964" w:rsidRDefault="001E7615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1E76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Legislatures, on the other hand, have superior opportunities to obtain the facts necessary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for a judgment about the present controversy. Not only do they have more flexible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mechanisms for fact finding than the Judiciary, but their mechanisms include the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power to experiment, moving forward and pulling back as facts emerge within their own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jurisdictions. There is, indeed, good reason to suppose that in the absence of a judgment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for respondents here, just such experimentation will be attempted in some of the States.</w:t>
      </w:r>
    </w:p>
    <w:p w:rsidR="001E7615" w:rsidRPr="000A7964" w:rsidRDefault="001E7615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1E76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 xml:space="preserve">I do not decide here what the significance might be of legislative </w:t>
      </w:r>
      <w:proofErr w:type="spellStart"/>
      <w:r w:rsidRPr="000A7964">
        <w:rPr>
          <w:rFonts w:ascii="Times New Roman" w:hAnsi="Times New Roman" w:cs="Times New Roman"/>
          <w:sz w:val="24"/>
          <w:szCs w:val="24"/>
        </w:rPr>
        <w:t>footdragging</w:t>
      </w:r>
      <w:proofErr w:type="spellEnd"/>
      <w:r w:rsidRPr="000A7964">
        <w:rPr>
          <w:rFonts w:ascii="Times New Roman" w:hAnsi="Times New Roman" w:cs="Times New Roman"/>
          <w:sz w:val="24"/>
          <w:szCs w:val="24"/>
        </w:rPr>
        <w:t xml:space="preserve"> in ascertaining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the facts going to the State’s argument that the right in question could not be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confined as claimed. Sometimes a court may be bound to act regardless of the institutional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preferability of the political branches as forums for addressing constitutional claims. Now,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it is enough to say that our examination of legislative reasonableness should consider the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fact that the Legislature of the State of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Washington is no more obviously at fault than this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Court is in being uncertain about what would happen if respondents prevailed today. We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 xml:space="preserve">therefore have a clear </w:t>
      </w:r>
      <w:r w:rsidRPr="000A7964">
        <w:rPr>
          <w:rFonts w:ascii="Times New Roman" w:hAnsi="Times New Roman" w:cs="Times New Roman"/>
          <w:sz w:val="24"/>
          <w:szCs w:val="24"/>
        </w:rPr>
        <w:lastRenderedPageBreak/>
        <w:t>question about which institution, a legislature or a court, is relatively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more competent to deal with an emerging issue as to which facts currently unknown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could</w:t>
      </w:r>
      <w:r w:rsidR="001E7615">
        <w:rPr>
          <w:rFonts w:ascii="Times New Roman" w:hAnsi="Times New Roman" w:cs="Times New Roman"/>
          <w:sz w:val="24"/>
          <w:szCs w:val="24"/>
        </w:rPr>
        <w:t xml:space="preserve"> be dispositive. The answer </w:t>
      </w:r>
      <w:proofErr w:type="gramStart"/>
      <w:r w:rsidR="001E7615">
        <w:rPr>
          <w:rFonts w:ascii="Times New Roman" w:hAnsi="Times New Roman" w:cs="Times New Roman"/>
          <w:sz w:val="24"/>
          <w:szCs w:val="24"/>
        </w:rPr>
        <w:t xml:space="preserve">has </w:t>
      </w:r>
      <w:r w:rsidRPr="000A7964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Pr="000A7964">
        <w:rPr>
          <w:rFonts w:ascii="Times New Roman" w:hAnsi="Times New Roman" w:cs="Times New Roman"/>
          <w:sz w:val="24"/>
          <w:szCs w:val="24"/>
        </w:rPr>
        <w:t xml:space="preserve"> be, for the reasons already stated, that the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legislative process is to be prefer</w:t>
      </w:r>
      <w:r w:rsidR="001E7615">
        <w:rPr>
          <w:rFonts w:ascii="Times New Roman" w:hAnsi="Times New Roman" w:cs="Times New Roman"/>
          <w:sz w:val="24"/>
          <w:szCs w:val="24"/>
        </w:rPr>
        <w:t xml:space="preserve">red. There is a closely related </w:t>
      </w:r>
      <w:r w:rsidRPr="000A7964">
        <w:rPr>
          <w:rFonts w:ascii="Times New Roman" w:hAnsi="Times New Roman" w:cs="Times New Roman"/>
          <w:sz w:val="24"/>
          <w:szCs w:val="24"/>
        </w:rPr>
        <w:t>further reason as well.</w:t>
      </w:r>
    </w:p>
    <w:p w:rsidR="001E7615" w:rsidRPr="000A7964" w:rsidRDefault="001E7615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Default="000A7964" w:rsidP="001E76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7964">
        <w:rPr>
          <w:rFonts w:ascii="Times New Roman" w:hAnsi="Times New Roman" w:cs="Times New Roman"/>
          <w:sz w:val="24"/>
          <w:szCs w:val="24"/>
        </w:rPr>
        <w:t>One must bear in mind that the nature of the right claimed, if recognized as one constitutionally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required, would differ in no essential way from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other constitutional rights guaranteed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by enumeration or derived from some more definite textual source than “due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process.” An unenumerated right should not therefore be recognized, with the effect of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displacing the legislative ordering of things, without the assurance that its recognition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would prove as durable as the recognition of those other rights differently derived. To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recognize a right of lesser promise would simply create a constitutional regime too uncertain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to bring with it the expectation of finality that is one of this Court’s central obligations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in making constitutional decisions.</w:t>
      </w:r>
    </w:p>
    <w:p w:rsidR="001E7615" w:rsidRPr="000A7964" w:rsidRDefault="001E7615" w:rsidP="000A7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64" w:rsidRPr="00CB0FC9" w:rsidRDefault="000A7964" w:rsidP="001E76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A7964">
        <w:rPr>
          <w:rFonts w:ascii="Times New Roman" w:hAnsi="Times New Roman" w:cs="Times New Roman"/>
          <w:sz w:val="24"/>
          <w:szCs w:val="24"/>
        </w:rPr>
        <w:t>Legislatures, however, are not so constrained. The experimentation that should be out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of the question in constitutional adjudication displacing legislative judgments is entirely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proper, as well as highly desirable, when the legislative power addresses an emerging issue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like assisted suicide. The Court should accordingly stay its hand to allow reasonable legislative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consideration. While I do not decide for all time that respondents’ claim should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not be recognized, I acknowledge the legislative institutional competence as the better</w:t>
      </w:r>
      <w:r w:rsidR="001E7615">
        <w:rPr>
          <w:rFonts w:ascii="Times New Roman" w:hAnsi="Times New Roman" w:cs="Times New Roman"/>
          <w:sz w:val="24"/>
          <w:szCs w:val="24"/>
        </w:rPr>
        <w:t xml:space="preserve"> </w:t>
      </w:r>
      <w:r w:rsidRPr="000A7964">
        <w:rPr>
          <w:rFonts w:ascii="Times New Roman" w:hAnsi="Times New Roman" w:cs="Times New Roman"/>
          <w:sz w:val="24"/>
          <w:szCs w:val="24"/>
        </w:rPr>
        <w:t>one to deal with that claim at this time.</w:t>
      </w:r>
    </w:p>
    <w:sectPr w:rsidR="000A7964" w:rsidRPr="00CB0F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FC9"/>
    <w:rsid w:val="000A7964"/>
    <w:rsid w:val="001E7615"/>
    <w:rsid w:val="00CB0FC9"/>
    <w:rsid w:val="00D54CFF"/>
    <w:rsid w:val="00EB09D9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31514"/>
  <w15:chartTrackingRefBased/>
  <w15:docId w15:val="{CD815677-3D47-40EB-94B7-4104E9879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8</Pages>
  <Words>4191</Words>
  <Characters>23892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2018-08-03T13:29:00Z</dcterms:created>
  <dcterms:modified xsi:type="dcterms:W3CDTF">2018-08-03T14:17:00Z</dcterms:modified>
</cp:coreProperties>
</file>