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3447" w:rsidRDefault="00E43447" w:rsidP="00E43447">
      <w:pPr>
        <w:pStyle w:val="Heading3"/>
      </w:pPr>
      <w:bookmarkStart w:id="0" w:name="_Toc269894391"/>
      <w:bookmarkStart w:id="1" w:name="_Toc269894868"/>
      <w:bookmarkStart w:id="2" w:name="_Toc427688180"/>
      <w:bookmarkStart w:id="3" w:name="_GoBack"/>
      <w:proofErr w:type="spellStart"/>
      <w:r>
        <w:t>Schuette</w:t>
      </w:r>
      <w:proofErr w:type="spellEnd"/>
      <w:r>
        <w:t xml:space="preserve"> v. Coalition to Defend Affirmative Action </w:t>
      </w:r>
      <w:bookmarkEnd w:id="3"/>
      <w:r>
        <w:t xml:space="preserve">(2014): </w:t>
      </w:r>
      <w:r w:rsidRPr="0049342B">
        <w:rPr>
          <w:i w:val="0"/>
        </w:rPr>
        <w:t>Note</w:t>
      </w:r>
      <w:bookmarkEnd w:id="0"/>
      <w:bookmarkEnd w:id="1"/>
      <w:bookmarkEnd w:id="2"/>
    </w:p>
    <w:p w:rsidR="00E43447" w:rsidRDefault="00E43447" w:rsidP="00E43447">
      <w:pPr>
        <w:pStyle w:val="Default"/>
        <w:jc w:val="center"/>
        <w:rPr>
          <w:rFonts w:ascii="Times New Roman" w:hAnsi="Times New Roman" w:cs="Times New Roman"/>
          <w:b/>
          <w:color w:val="auto"/>
        </w:rPr>
      </w:pPr>
    </w:p>
    <w:p w:rsidR="00E43447" w:rsidRPr="007B4717" w:rsidRDefault="00E43447" w:rsidP="00E43447">
      <w:pPr>
        <w:spacing w:after="120"/>
        <w:ind w:firstLine="720"/>
        <w:jc w:val="both"/>
        <w:rPr>
          <w:iCs/>
          <w:color w:val="333333"/>
          <w:szCs w:val="24"/>
          <w:shd w:val="clear" w:color="auto" w:fill="FFFFFF"/>
        </w:rPr>
      </w:pPr>
      <w:proofErr w:type="spellStart"/>
      <w:r w:rsidRPr="007B4717">
        <w:rPr>
          <w:i/>
          <w:iCs/>
          <w:color w:val="333333"/>
          <w:szCs w:val="24"/>
          <w:shd w:val="clear" w:color="auto" w:fill="FFFFFF"/>
        </w:rPr>
        <w:t>Schuette</w:t>
      </w:r>
      <w:proofErr w:type="spellEnd"/>
      <w:r w:rsidRPr="007B4717">
        <w:rPr>
          <w:i/>
          <w:iCs/>
          <w:color w:val="333333"/>
          <w:szCs w:val="24"/>
          <w:shd w:val="clear" w:color="auto" w:fill="FFFFFF"/>
        </w:rPr>
        <w:t xml:space="preserve"> v. Coalition to Defend Affirmative Action </w:t>
      </w:r>
      <w:r w:rsidRPr="007B4717">
        <w:rPr>
          <w:iCs/>
          <w:color w:val="333333"/>
          <w:szCs w:val="24"/>
          <w:shd w:val="clear" w:color="auto" w:fill="FFFFFF"/>
        </w:rPr>
        <w:t>(</w:t>
      </w:r>
      <w:r>
        <w:rPr>
          <w:iCs/>
          <w:color w:val="333333"/>
          <w:szCs w:val="24"/>
          <w:shd w:val="clear" w:color="auto" w:fill="FFFFFF"/>
        </w:rPr>
        <w:t>2014</w:t>
      </w:r>
      <w:r w:rsidRPr="007B4717">
        <w:rPr>
          <w:iCs/>
          <w:color w:val="333333"/>
          <w:szCs w:val="24"/>
          <w:shd w:val="clear" w:color="auto" w:fill="FFFFFF"/>
        </w:rPr>
        <w:t>)</w:t>
      </w:r>
      <w:r w:rsidRPr="007B4717">
        <w:rPr>
          <w:i/>
          <w:iCs/>
          <w:color w:val="333333"/>
          <w:szCs w:val="24"/>
          <w:shd w:val="clear" w:color="auto" w:fill="FFFFFF"/>
        </w:rPr>
        <w:t xml:space="preserve"> </w:t>
      </w:r>
      <w:r w:rsidRPr="0049342B">
        <w:rPr>
          <w:iCs/>
          <w:color w:val="333333"/>
          <w:szCs w:val="24"/>
          <w:shd w:val="clear" w:color="auto" w:fill="FFFFFF"/>
        </w:rPr>
        <w:t>upheld the Michigan voters’</w:t>
      </w:r>
      <w:r>
        <w:rPr>
          <w:iCs/>
          <w:color w:val="333333"/>
          <w:szCs w:val="24"/>
          <w:shd w:val="clear" w:color="auto" w:fill="FFFFFF"/>
        </w:rPr>
        <w:t xml:space="preserve"> </w:t>
      </w:r>
      <w:r w:rsidRPr="0049342B">
        <w:rPr>
          <w:iCs/>
          <w:color w:val="333333"/>
          <w:szCs w:val="24"/>
          <w:shd w:val="clear" w:color="auto" w:fill="FFFFFF"/>
        </w:rPr>
        <w:t>amendment to the state constitution banning racial affirmative action admissions programs at state universities.</w:t>
      </w:r>
      <w:r w:rsidRPr="007B4717">
        <w:rPr>
          <w:iCs/>
          <w:color w:val="333333"/>
          <w:szCs w:val="24"/>
          <w:shd w:val="clear" w:color="auto" w:fill="FFFFFF"/>
        </w:rPr>
        <w:t xml:space="preserve"> In order to understand the opinion of the Court in </w:t>
      </w:r>
      <w:proofErr w:type="spellStart"/>
      <w:r w:rsidRPr="007B4717">
        <w:rPr>
          <w:i/>
          <w:iCs/>
          <w:color w:val="333333"/>
          <w:szCs w:val="24"/>
          <w:shd w:val="clear" w:color="auto" w:fill="FFFFFF"/>
        </w:rPr>
        <w:t>Schuette</w:t>
      </w:r>
      <w:proofErr w:type="spellEnd"/>
      <w:r w:rsidRPr="007B4717">
        <w:rPr>
          <w:iCs/>
          <w:color w:val="333333"/>
          <w:szCs w:val="24"/>
          <w:shd w:val="clear" w:color="auto" w:fill="FFFFFF"/>
        </w:rPr>
        <w:t xml:space="preserve">, we must first review the decisions of the Court in three prior cases. </w:t>
      </w:r>
    </w:p>
    <w:p w:rsidR="00E43447" w:rsidRPr="007B4717" w:rsidRDefault="00E43447" w:rsidP="00E43447">
      <w:pPr>
        <w:spacing w:after="120"/>
        <w:jc w:val="both"/>
        <w:rPr>
          <w:szCs w:val="24"/>
        </w:rPr>
      </w:pPr>
      <w:r w:rsidRPr="007B4717">
        <w:rPr>
          <w:iCs/>
          <w:color w:val="333333"/>
          <w:szCs w:val="24"/>
          <w:shd w:val="clear" w:color="auto" w:fill="FFFFFF"/>
        </w:rPr>
        <w:tab/>
        <w:t xml:space="preserve">In </w:t>
      </w:r>
      <w:r w:rsidRPr="007B4717">
        <w:rPr>
          <w:rStyle w:val="apple-converted-space"/>
          <w:i/>
          <w:color w:val="222222"/>
          <w:szCs w:val="24"/>
          <w:shd w:val="clear" w:color="auto" w:fill="FFFFFF"/>
        </w:rPr>
        <w:t xml:space="preserve">Reitman v. </w:t>
      </w:r>
      <w:proofErr w:type="spellStart"/>
      <w:r w:rsidRPr="007B4717">
        <w:rPr>
          <w:rStyle w:val="apple-converted-space"/>
          <w:i/>
          <w:color w:val="222222"/>
          <w:szCs w:val="24"/>
          <w:shd w:val="clear" w:color="auto" w:fill="FFFFFF"/>
        </w:rPr>
        <w:t>Mulkey</w:t>
      </w:r>
      <w:proofErr w:type="spellEnd"/>
      <w:r w:rsidRPr="007B4717">
        <w:rPr>
          <w:rStyle w:val="apple-converted-space"/>
          <w:color w:val="222222"/>
          <w:szCs w:val="24"/>
          <w:shd w:val="clear" w:color="auto" w:fill="FFFFFF"/>
        </w:rPr>
        <w:t xml:space="preserve"> (1967), the Court struck down a successful California ballot initiative which amended the state constitution to allow the owner of any residential property to refuse to sell or lease the property to a person at the owner’s “absolute discretion.”</w:t>
      </w:r>
      <w:r w:rsidRPr="007B4717">
        <w:rPr>
          <w:szCs w:val="24"/>
        </w:rPr>
        <w:t xml:space="preserve"> (This amendment was passed before the Supreme Court held that private acts of racial discrimination in real estate transactions</w:t>
      </w:r>
      <w:r>
        <w:rPr>
          <w:szCs w:val="24"/>
        </w:rPr>
        <w:t xml:space="preserve"> violated the 1866 Civil Rights Act passed under the 13</w:t>
      </w:r>
      <w:r w:rsidRPr="00727D9C">
        <w:rPr>
          <w:szCs w:val="24"/>
          <w:vertAlign w:val="superscript"/>
        </w:rPr>
        <w:t>th</w:t>
      </w:r>
      <w:r>
        <w:rPr>
          <w:szCs w:val="24"/>
        </w:rPr>
        <w:t xml:space="preserve"> Amendment. </w:t>
      </w:r>
      <w:proofErr w:type="gramStart"/>
      <w:r w:rsidRPr="00FC498B">
        <w:rPr>
          <w:bCs/>
          <w:i/>
          <w:iCs/>
          <w:color w:val="252525"/>
          <w:szCs w:val="24"/>
          <w:shd w:val="clear" w:color="auto" w:fill="FFFFFF"/>
        </w:rPr>
        <w:t>Jones v. Alfred H. Mayer Co.</w:t>
      </w:r>
      <w:r w:rsidRPr="007B4717">
        <w:rPr>
          <w:szCs w:val="24"/>
        </w:rPr>
        <w:t xml:space="preserve"> </w:t>
      </w:r>
      <w:r>
        <w:rPr>
          <w:szCs w:val="24"/>
        </w:rPr>
        <w:t>(1968).</w:t>
      </w:r>
      <w:proofErr w:type="gramEnd"/>
      <w:r>
        <w:rPr>
          <w:szCs w:val="24"/>
        </w:rPr>
        <w:t xml:space="preserve"> </w:t>
      </w:r>
      <w:r w:rsidRPr="007B4717">
        <w:rPr>
          <w:szCs w:val="24"/>
        </w:rPr>
        <w:t>In the Court’s view, t</w:t>
      </w:r>
      <w:r>
        <w:rPr>
          <w:szCs w:val="24"/>
        </w:rPr>
        <w:t>he intent of the California</w:t>
      </w:r>
      <w:r w:rsidRPr="007B4717">
        <w:rPr>
          <w:szCs w:val="24"/>
        </w:rPr>
        <w:t xml:space="preserve"> amendment was to overturn several state statutes which prohibited racial discrimination in housing. The amendment was neutral on its face, making no reference to racial or other class-based discrimination</w:t>
      </w:r>
      <w:r>
        <w:rPr>
          <w:szCs w:val="24"/>
        </w:rPr>
        <w:t xml:space="preserve">. The Court held that </w:t>
      </w:r>
      <w:r w:rsidRPr="007B4717">
        <w:rPr>
          <w:szCs w:val="24"/>
        </w:rPr>
        <w:t xml:space="preserve">the effect of this </w:t>
      </w:r>
      <w:r>
        <w:rPr>
          <w:szCs w:val="24"/>
        </w:rPr>
        <w:t xml:space="preserve">amendment </w:t>
      </w:r>
      <w:r w:rsidRPr="007B4717">
        <w:rPr>
          <w:szCs w:val="24"/>
        </w:rPr>
        <w:t xml:space="preserve">would be to deny injured parties the protection of the California statutes banning racial discrimination when leasing or buying residential property. </w:t>
      </w:r>
      <w:r>
        <w:rPr>
          <w:szCs w:val="24"/>
        </w:rPr>
        <w:t>[</w:t>
      </w:r>
      <w:r w:rsidRPr="00762844">
        <w:rPr>
          <w:i/>
          <w:szCs w:val="24"/>
        </w:rPr>
        <w:t>Reitman</w:t>
      </w:r>
      <w:r>
        <w:rPr>
          <w:szCs w:val="24"/>
        </w:rPr>
        <w:t xml:space="preserve"> was also decided before the Court held that disparate impact from facially neutral statutes was not cognizable in the absence of discriminatory intent in </w:t>
      </w:r>
      <w:r w:rsidRPr="00762844">
        <w:rPr>
          <w:i/>
          <w:szCs w:val="24"/>
        </w:rPr>
        <w:t>Washington v. Davis</w:t>
      </w:r>
      <w:r>
        <w:rPr>
          <w:szCs w:val="24"/>
        </w:rPr>
        <w:t xml:space="preserve"> (1976).] T</w:t>
      </w:r>
      <w:r w:rsidRPr="007B4717">
        <w:rPr>
          <w:szCs w:val="24"/>
        </w:rPr>
        <w:t>he Court agreed with the state supreme court that th</w:t>
      </w:r>
      <w:r>
        <w:rPr>
          <w:szCs w:val="24"/>
        </w:rPr>
        <w:t xml:space="preserve">e California constitutional </w:t>
      </w:r>
      <w:r w:rsidRPr="007B4717">
        <w:rPr>
          <w:szCs w:val="24"/>
        </w:rPr>
        <w:t>amendment violated the Equal Protection clause of the 14</w:t>
      </w:r>
      <w:r w:rsidRPr="007B4717">
        <w:rPr>
          <w:szCs w:val="24"/>
          <w:vertAlign w:val="superscript"/>
        </w:rPr>
        <w:t>th</w:t>
      </w:r>
      <w:r w:rsidRPr="007B4717">
        <w:rPr>
          <w:szCs w:val="24"/>
        </w:rPr>
        <w:t xml:space="preserve"> Amendment</w:t>
      </w:r>
      <w:r>
        <w:rPr>
          <w:szCs w:val="24"/>
        </w:rPr>
        <w:t xml:space="preserve"> because it</w:t>
      </w:r>
      <w:r w:rsidRPr="007B4717">
        <w:rPr>
          <w:szCs w:val="24"/>
        </w:rPr>
        <w:t xml:space="preserve"> “expressly authorized and constitutionalized the private right to discriminate.”</w:t>
      </w:r>
    </w:p>
    <w:p w:rsidR="00E43447" w:rsidRPr="007B4717" w:rsidRDefault="00E43447" w:rsidP="00E43447">
      <w:pPr>
        <w:spacing w:after="120"/>
        <w:jc w:val="both"/>
        <w:rPr>
          <w:szCs w:val="24"/>
          <w:u w:val="single"/>
        </w:rPr>
      </w:pPr>
      <w:r w:rsidRPr="007B4717">
        <w:rPr>
          <w:szCs w:val="24"/>
        </w:rPr>
        <w:tab/>
        <w:t xml:space="preserve">Two years later, the Court decided </w:t>
      </w:r>
      <w:r w:rsidRPr="007B4717">
        <w:rPr>
          <w:i/>
          <w:iCs/>
          <w:color w:val="222222"/>
          <w:szCs w:val="24"/>
          <w:shd w:val="clear" w:color="auto" w:fill="FFFFFF"/>
        </w:rPr>
        <w:t>Hunter v. Erickson</w:t>
      </w:r>
      <w:r w:rsidRPr="007B4717">
        <w:rPr>
          <w:iCs/>
          <w:color w:val="222222"/>
          <w:szCs w:val="24"/>
          <w:shd w:val="clear" w:color="auto" w:fill="FFFFFF"/>
        </w:rPr>
        <w:t xml:space="preserve"> (1969)</w:t>
      </w:r>
      <w:r>
        <w:rPr>
          <w:iCs/>
          <w:color w:val="222222"/>
          <w:szCs w:val="24"/>
          <w:shd w:val="clear" w:color="auto" w:fill="FFFFFF"/>
        </w:rPr>
        <w:t>. In 1964, t</w:t>
      </w:r>
      <w:r w:rsidRPr="007B4717">
        <w:rPr>
          <w:szCs w:val="24"/>
        </w:rPr>
        <w:t xml:space="preserve">he town council in Akron, Ohio enacted an ordinance to combat </w:t>
      </w:r>
      <w:r>
        <w:rPr>
          <w:szCs w:val="24"/>
        </w:rPr>
        <w:t xml:space="preserve">the </w:t>
      </w:r>
      <w:r w:rsidRPr="007B4717">
        <w:rPr>
          <w:szCs w:val="24"/>
        </w:rPr>
        <w:t xml:space="preserve">racial discrimination </w:t>
      </w:r>
      <w:r>
        <w:rPr>
          <w:szCs w:val="24"/>
        </w:rPr>
        <w:t xml:space="preserve">that was </w:t>
      </w:r>
      <w:r w:rsidRPr="007B4717">
        <w:rPr>
          <w:szCs w:val="24"/>
        </w:rPr>
        <w:t xml:space="preserve">prevalent in </w:t>
      </w:r>
      <w:r>
        <w:rPr>
          <w:szCs w:val="24"/>
        </w:rPr>
        <w:t>the private housing market</w:t>
      </w:r>
      <w:r w:rsidRPr="007B4717">
        <w:rPr>
          <w:szCs w:val="24"/>
        </w:rPr>
        <w:t>. Shortly thereafter, the people of the city voted to amend the city charter to prevent</w:t>
      </w:r>
      <w:r>
        <w:rPr>
          <w:szCs w:val="24"/>
        </w:rPr>
        <w:t xml:space="preserve"> the city council fro</w:t>
      </w:r>
      <w:r w:rsidRPr="007B4717">
        <w:rPr>
          <w:szCs w:val="24"/>
        </w:rPr>
        <w:t xml:space="preserve">m enacting any ordinance that dealt with discrimination in housing without the approval of the majority of Akron’s voting population. In </w:t>
      </w:r>
      <w:r>
        <w:rPr>
          <w:szCs w:val="24"/>
        </w:rPr>
        <w:t>striking down the amendment as a violation of Equal Protection,</w:t>
      </w:r>
      <w:r w:rsidRPr="007B4717">
        <w:rPr>
          <w:szCs w:val="24"/>
        </w:rPr>
        <w:t xml:space="preserve"> the Court introduced the </w:t>
      </w:r>
      <w:r>
        <w:rPr>
          <w:szCs w:val="24"/>
        </w:rPr>
        <w:t>“</w:t>
      </w:r>
      <w:r w:rsidRPr="007B4717">
        <w:rPr>
          <w:szCs w:val="24"/>
        </w:rPr>
        <w:t>political process doctrine</w:t>
      </w:r>
      <w:r>
        <w:rPr>
          <w:szCs w:val="24"/>
        </w:rPr>
        <w:t>.”</w:t>
      </w:r>
      <w:r w:rsidRPr="007B4717">
        <w:rPr>
          <w:szCs w:val="24"/>
        </w:rPr>
        <w:t xml:space="preserve"> The Court emphasized the special burden placed on minorities in the political process when antidiscrimination ordinances are singled out</w:t>
      </w:r>
      <w:r>
        <w:rPr>
          <w:szCs w:val="24"/>
        </w:rPr>
        <w:t xml:space="preserve"> and subjected to burdensome requirements</w:t>
      </w:r>
      <w:r w:rsidRPr="007B4717">
        <w:rPr>
          <w:szCs w:val="24"/>
        </w:rPr>
        <w:t xml:space="preserve">.  </w:t>
      </w:r>
      <w:r>
        <w:rPr>
          <w:szCs w:val="24"/>
        </w:rPr>
        <w:t xml:space="preserve">Justice </w:t>
      </w:r>
      <w:r w:rsidRPr="007B4717">
        <w:rPr>
          <w:szCs w:val="24"/>
        </w:rPr>
        <w:t>Harlan</w:t>
      </w:r>
      <w:r>
        <w:rPr>
          <w:szCs w:val="24"/>
        </w:rPr>
        <w:t xml:space="preserve">, concurring, </w:t>
      </w:r>
      <w:r w:rsidRPr="007B4717">
        <w:rPr>
          <w:szCs w:val="24"/>
        </w:rPr>
        <w:t xml:space="preserve">stated that the amendment had the clear purpose of stymying the efforts of racial and religious minorities </w:t>
      </w:r>
      <w:r>
        <w:rPr>
          <w:szCs w:val="24"/>
        </w:rPr>
        <w:t>to gain</w:t>
      </w:r>
      <w:r w:rsidRPr="007B4717">
        <w:rPr>
          <w:szCs w:val="24"/>
        </w:rPr>
        <w:t xml:space="preserve"> </w:t>
      </w:r>
      <w:r>
        <w:rPr>
          <w:szCs w:val="24"/>
        </w:rPr>
        <w:t>ordinary access to the political process</w:t>
      </w:r>
      <w:r w:rsidRPr="007B4717">
        <w:rPr>
          <w:szCs w:val="24"/>
        </w:rPr>
        <w:t xml:space="preserve">. </w:t>
      </w:r>
      <w:r>
        <w:rPr>
          <w:szCs w:val="24"/>
        </w:rPr>
        <w:t xml:space="preserve">He </w:t>
      </w:r>
      <w:r w:rsidRPr="007B4717">
        <w:rPr>
          <w:szCs w:val="24"/>
        </w:rPr>
        <w:t>wrote that the amendment to the city charter ha</w:t>
      </w:r>
      <w:r>
        <w:rPr>
          <w:szCs w:val="24"/>
        </w:rPr>
        <w:t>d</w:t>
      </w:r>
      <w:r w:rsidRPr="007B4717">
        <w:rPr>
          <w:szCs w:val="24"/>
        </w:rPr>
        <w:t xml:space="preserve"> “the clear purpose of making it more difficult for certain racial and religious minorities to achieve legislation that is in their interest.”</w:t>
      </w:r>
    </w:p>
    <w:p w:rsidR="00E43447" w:rsidRPr="007B4717" w:rsidRDefault="00E43447" w:rsidP="00E43447">
      <w:pPr>
        <w:spacing w:after="120"/>
        <w:ind w:firstLine="720"/>
        <w:jc w:val="both"/>
        <w:rPr>
          <w:szCs w:val="24"/>
        </w:rPr>
      </w:pPr>
      <w:r w:rsidRPr="007B4717">
        <w:rPr>
          <w:szCs w:val="24"/>
        </w:rPr>
        <w:t xml:space="preserve">Finally, in </w:t>
      </w:r>
      <w:r w:rsidRPr="007B4717">
        <w:rPr>
          <w:i/>
          <w:iCs/>
          <w:color w:val="222222"/>
          <w:szCs w:val="24"/>
          <w:shd w:val="clear" w:color="auto" w:fill="FFFFFF"/>
        </w:rPr>
        <w:t>Washington v. Seattle School District No. 1</w:t>
      </w:r>
      <w:r w:rsidRPr="007B4717">
        <w:rPr>
          <w:iCs/>
          <w:color w:val="222222"/>
          <w:szCs w:val="24"/>
          <w:shd w:val="clear" w:color="auto" w:fill="FFFFFF"/>
        </w:rPr>
        <w:t xml:space="preserve"> (1982), t</w:t>
      </w:r>
      <w:r w:rsidRPr="007B4717">
        <w:rPr>
          <w:szCs w:val="24"/>
        </w:rPr>
        <w:t xml:space="preserve">he people of the state of Washington passed a ballot initiative that </w:t>
      </w:r>
      <w:r>
        <w:rPr>
          <w:szCs w:val="24"/>
        </w:rPr>
        <w:t xml:space="preserve">created a statewide statute prohibiting school districts from voluntarily initiating </w:t>
      </w:r>
      <w:r w:rsidRPr="007B4717">
        <w:rPr>
          <w:szCs w:val="24"/>
        </w:rPr>
        <w:t>busing</w:t>
      </w:r>
      <w:r>
        <w:rPr>
          <w:szCs w:val="24"/>
        </w:rPr>
        <w:t xml:space="preserve"> programs to foster </w:t>
      </w:r>
      <w:r w:rsidRPr="007B4717">
        <w:rPr>
          <w:szCs w:val="24"/>
        </w:rPr>
        <w:t xml:space="preserve">the </w:t>
      </w:r>
      <w:r>
        <w:rPr>
          <w:szCs w:val="24"/>
        </w:rPr>
        <w:t xml:space="preserve">racial </w:t>
      </w:r>
      <w:r w:rsidRPr="007B4717">
        <w:rPr>
          <w:szCs w:val="24"/>
        </w:rPr>
        <w:t>integration of schools. The Seattle city school board</w:t>
      </w:r>
      <w:r>
        <w:rPr>
          <w:szCs w:val="24"/>
        </w:rPr>
        <w:t xml:space="preserve">, amidst great controversy, </w:t>
      </w:r>
      <w:r w:rsidRPr="007B4717">
        <w:rPr>
          <w:szCs w:val="24"/>
        </w:rPr>
        <w:t xml:space="preserve">had previously </w:t>
      </w:r>
      <w:r>
        <w:rPr>
          <w:szCs w:val="24"/>
        </w:rPr>
        <w:t xml:space="preserve">implemented </w:t>
      </w:r>
      <w:r w:rsidRPr="007B4717">
        <w:rPr>
          <w:szCs w:val="24"/>
        </w:rPr>
        <w:t>this type of busing</w:t>
      </w:r>
      <w:r>
        <w:rPr>
          <w:szCs w:val="24"/>
        </w:rPr>
        <w:t>. T</w:t>
      </w:r>
      <w:r w:rsidRPr="007B4717">
        <w:rPr>
          <w:szCs w:val="24"/>
        </w:rPr>
        <w:t>his state</w:t>
      </w:r>
      <w:r>
        <w:rPr>
          <w:szCs w:val="24"/>
        </w:rPr>
        <w:t>wide</w:t>
      </w:r>
      <w:r w:rsidRPr="007B4717">
        <w:rPr>
          <w:szCs w:val="24"/>
        </w:rPr>
        <w:t xml:space="preserve"> </w:t>
      </w:r>
      <w:r>
        <w:rPr>
          <w:szCs w:val="24"/>
        </w:rPr>
        <w:t xml:space="preserve">initiative, begun by opponents of the Seattle busing plan, overturned the plan and </w:t>
      </w:r>
      <w:r w:rsidRPr="007B4717">
        <w:rPr>
          <w:szCs w:val="24"/>
        </w:rPr>
        <w:t>remove</w:t>
      </w:r>
      <w:r>
        <w:rPr>
          <w:szCs w:val="24"/>
        </w:rPr>
        <w:t>d the decision making power regarding a return to voluntary busing from the local</w:t>
      </w:r>
      <w:r w:rsidRPr="007B4717">
        <w:rPr>
          <w:szCs w:val="24"/>
        </w:rPr>
        <w:t xml:space="preserve"> school board, where such decisions traditionally lay, and placed it instead in the hands of the state legislature and </w:t>
      </w:r>
      <w:r>
        <w:rPr>
          <w:szCs w:val="24"/>
        </w:rPr>
        <w:t xml:space="preserve">or state </w:t>
      </w:r>
      <w:r w:rsidRPr="007B4717">
        <w:rPr>
          <w:szCs w:val="24"/>
        </w:rPr>
        <w:t xml:space="preserve">voters. </w:t>
      </w:r>
      <w:r>
        <w:rPr>
          <w:szCs w:val="24"/>
        </w:rPr>
        <w:t xml:space="preserve">Justice </w:t>
      </w:r>
      <w:r w:rsidRPr="007B4717">
        <w:rPr>
          <w:szCs w:val="24"/>
        </w:rPr>
        <w:t xml:space="preserve">Blackmun, </w:t>
      </w:r>
      <w:r>
        <w:rPr>
          <w:szCs w:val="24"/>
        </w:rPr>
        <w:t>for the Court</w:t>
      </w:r>
      <w:r w:rsidRPr="007B4717">
        <w:rPr>
          <w:szCs w:val="24"/>
        </w:rPr>
        <w:t>, wrote that the state initiative had the “practical effect” of removing the authority needed to address this racial issue from the initial decision-making body “in such a way as to burden minority intere</w:t>
      </w:r>
      <w:r>
        <w:rPr>
          <w:szCs w:val="24"/>
        </w:rPr>
        <w:t xml:space="preserve">sts” who would now have </w:t>
      </w:r>
      <w:r w:rsidRPr="007B4717">
        <w:rPr>
          <w:szCs w:val="24"/>
        </w:rPr>
        <w:t xml:space="preserve">to </w:t>
      </w:r>
      <w:r>
        <w:rPr>
          <w:szCs w:val="24"/>
        </w:rPr>
        <w:t xml:space="preserve">navigate </w:t>
      </w:r>
      <w:r w:rsidRPr="007B4717">
        <w:rPr>
          <w:szCs w:val="24"/>
        </w:rPr>
        <w:t xml:space="preserve">the legislature </w:t>
      </w:r>
      <w:r>
        <w:rPr>
          <w:szCs w:val="24"/>
        </w:rPr>
        <w:t xml:space="preserve">or </w:t>
      </w:r>
      <w:r w:rsidRPr="007B4717">
        <w:rPr>
          <w:szCs w:val="24"/>
        </w:rPr>
        <w:t>the state electorate instead of their local school boards. Thus, the provision was found to violate the Equal Protection Clause of the 14</w:t>
      </w:r>
      <w:r w:rsidRPr="007B4717">
        <w:rPr>
          <w:szCs w:val="24"/>
          <w:vertAlign w:val="superscript"/>
        </w:rPr>
        <w:t>th</w:t>
      </w:r>
      <w:r w:rsidRPr="007B4717">
        <w:rPr>
          <w:szCs w:val="24"/>
        </w:rPr>
        <w:t xml:space="preserve"> amendment and the state </w:t>
      </w:r>
      <w:r w:rsidRPr="007B4717">
        <w:rPr>
          <w:szCs w:val="24"/>
        </w:rPr>
        <w:lastRenderedPageBreak/>
        <w:t xml:space="preserve">was enjoined from implementing the </w:t>
      </w:r>
      <w:r>
        <w:rPr>
          <w:szCs w:val="24"/>
        </w:rPr>
        <w:t xml:space="preserve">initiative </w:t>
      </w:r>
      <w:r w:rsidRPr="007B4717">
        <w:rPr>
          <w:szCs w:val="24"/>
        </w:rPr>
        <w:t xml:space="preserve">as law. </w:t>
      </w:r>
      <w:r>
        <w:rPr>
          <w:szCs w:val="24"/>
        </w:rPr>
        <w:t xml:space="preserve">Justice </w:t>
      </w:r>
      <w:r w:rsidRPr="007B4717">
        <w:rPr>
          <w:szCs w:val="24"/>
        </w:rPr>
        <w:t xml:space="preserve">Harlan’s concurrence in </w:t>
      </w:r>
      <w:r w:rsidRPr="007B4717">
        <w:rPr>
          <w:i/>
          <w:szCs w:val="24"/>
        </w:rPr>
        <w:t>Hunter</w:t>
      </w:r>
      <w:r w:rsidRPr="007B4717">
        <w:rPr>
          <w:szCs w:val="24"/>
        </w:rPr>
        <w:t xml:space="preserve"> influence</w:t>
      </w:r>
      <w:r>
        <w:rPr>
          <w:szCs w:val="24"/>
        </w:rPr>
        <w:t>d</w:t>
      </w:r>
      <w:r w:rsidRPr="007B4717">
        <w:rPr>
          <w:szCs w:val="24"/>
        </w:rPr>
        <w:t xml:space="preserve"> the Court in </w:t>
      </w:r>
      <w:r w:rsidRPr="007B4717">
        <w:rPr>
          <w:i/>
          <w:szCs w:val="24"/>
        </w:rPr>
        <w:t>Seattle</w:t>
      </w:r>
      <w:r>
        <w:rPr>
          <w:szCs w:val="24"/>
        </w:rPr>
        <w:t xml:space="preserve">; the Court ruled </w:t>
      </w:r>
      <w:r w:rsidRPr="007B4717">
        <w:rPr>
          <w:szCs w:val="24"/>
        </w:rPr>
        <w:t xml:space="preserve">that </w:t>
      </w:r>
      <w:r>
        <w:rPr>
          <w:szCs w:val="24"/>
        </w:rPr>
        <w:t>if there is a</w:t>
      </w:r>
      <w:r w:rsidRPr="007B4717">
        <w:rPr>
          <w:szCs w:val="24"/>
        </w:rPr>
        <w:t xml:space="preserve"> situation in which there is </w:t>
      </w:r>
      <w:r>
        <w:rPr>
          <w:szCs w:val="24"/>
        </w:rPr>
        <w:t xml:space="preserve">a government action which benefits </w:t>
      </w:r>
      <w:r w:rsidRPr="007B4717">
        <w:rPr>
          <w:szCs w:val="24"/>
        </w:rPr>
        <w:t xml:space="preserve">a minority and which members of that minority perceive to be “in their interest,” any </w:t>
      </w:r>
      <w:r>
        <w:rPr>
          <w:szCs w:val="24"/>
        </w:rPr>
        <w:t>subsequent</w:t>
      </w:r>
      <w:r w:rsidRPr="007B4717">
        <w:rPr>
          <w:szCs w:val="24"/>
        </w:rPr>
        <w:t xml:space="preserve"> state action which would place decision-making authority </w:t>
      </w:r>
      <w:r>
        <w:rPr>
          <w:szCs w:val="24"/>
        </w:rPr>
        <w:t xml:space="preserve">regarding that benefit </w:t>
      </w:r>
      <w:r w:rsidRPr="007B4717">
        <w:rPr>
          <w:szCs w:val="24"/>
        </w:rPr>
        <w:t xml:space="preserve">at a different level of government should then be reviewed at strict scrutiny. </w:t>
      </w:r>
      <w:r w:rsidRPr="007B4717">
        <w:rPr>
          <w:i/>
          <w:szCs w:val="24"/>
        </w:rPr>
        <w:t xml:space="preserve">Hunter </w:t>
      </w:r>
      <w:r w:rsidRPr="007B4717">
        <w:rPr>
          <w:szCs w:val="24"/>
        </w:rPr>
        <w:t xml:space="preserve">and </w:t>
      </w:r>
      <w:r w:rsidRPr="007B4717">
        <w:rPr>
          <w:i/>
          <w:szCs w:val="24"/>
        </w:rPr>
        <w:t>Seattle</w:t>
      </w:r>
      <w:r>
        <w:rPr>
          <w:szCs w:val="24"/>
        </w:rPr>
        <w:t xml:space="preserve"> together were seen to form an “effects </w:t>
      </w:r>
      <w:r w:rsidRPr="007B4717">
        <w:rPr>
          <w:szCs w:val="24"/>
        </w:rPr>
        <w:t>test”</w:t>
      </w:r>
      <w:r>
        <w:rPr>
          <w:szCs w:val="24"/>
        </w:rPr>
        <w:t xml:space="preserve"> </w:t>
      </w:r>
      <w:r w:rsidRPr="007B4717">
        <w:rPr>
          <w:szCs w:val="24"/>
        </w:rPr>
        <w:t>(</w:t>
      </w:r>
      <w:r>
        <w:rPr>
          <w:szCs w:val="24"/>
        </w:rPr>
        <w:t xml:space="preserve">also </w:t>
      </w:r>
      <w:r w:rsidRPr="007B4717">
        <w:rPr>
          <w:szCs w:val="24"/>
        </w:rPr>
        <w:t xml:space="preserve">known as the </w:t>
      </w:r>
      <w:r>
        <w:rPr>
          <w:szCs w:val="24"/>
        </w:rPr>
        <w:t xml:space="preserve">“political </w:t>
      </w:r>
      <w:r w:rsidRPr="007B4717">
        <w:rPr>
          <w:szCs w:val="24"/>
        </w:rPr>
        <w:t>process doctrine</w:t>
      </w:r>
      <w:r>
        <w:rPr>
          <w:szCs w:val="24"/>
        </w:rPr>
        <w:t>”</w:t>
      </w:r>
      <w:r w:rsidRPr="007B4717">
        <w:rPr>
          <w:szCs w:val="24"/>
        </w:rPr>
        <w:t xml:space="preserve">) which </w:t>
      </w:r>
      <w:r>
        <w:rPr>
          <w:szCs w:val="24"/>
        </w:rPr>
        <w:t>seemed to hold that if a state action had the “serious risk</w:t>
      </w:r>
      <w:r w:rsidRPr="007B4717">
        <w:rPr>
          <w:szCs w:val="24"/>
        </w:rPr>
        <w:t xml:space="preserve">” </w:t>
      </w:r>
      <w:r>
        <w:rPr>
          <w:szCs w:val="24"/>
        </w:rPr>
        <w:t xml:space="preserve">of </w:t>
      </w:r>
      <w:r w:rsidRPr="007B4717">
        <w:rPr>
          <w:szCs w:val="24"/>
        </w:rPr>
        <w:t xml:space="preserve">causing injuries due to race or </w:t>
      </w:r>
      <w:r>
        <w:rPr>
          <w:szCs w:val="24"/>
        </w:rPr>
        <w:t>wa</w:t>
      </w:r>
      <w:r w:rsidRPr="007B4717">
        <w:rPr>
          <w:szCs w:val="24"/>
        </w:rPr>
        <w:t>s likely to be used to encourage inflict</w:t>
      </w:r>
      <w:r>
        <w:rPr>
          <w:szCs w:val="24"/>
        </w:rPr>
        <w:t>ion of injury by reason of race, the state action must be reviewed at strict scrutiny, regardless of intent.</w:t>
      </w:r>
    </w:p>
    <w:p w:rsidR="00E43447" w:rsidRPr="007B4717" w:rsidRDefault="00E43447" w:rsidP="00E43447">
      <w:pPr>
        <w:spacing w:after="120"/>
        <w:jc w:val="both"/>
        <w:rPr>
          <w:szCs w:val="24"/>
          <w:u w:val="single"/>
        </w:rPr>
      </w:pPr>
      <w:r w:rsidRPr="007B4717">
        <w:rPr>
          <w:szCs w:val="24"/>
        </w:rPr>
        <w:tab/>
        <w:t>Th</w:t>
      </w:r>
      <w:r>
        <w:rPr>
          <w:szCs w:val="24"/>
        </w:rPr>
        <w:t xml:space="preserve">ese cases </w:t>
      </w:r>
      <w:r w:rsidRPr="007B4717">
        <w:rPr>
          <w:szCs w:val="24"/>
        </w:rPr>
        <w:t xml:space="preserve">set the stage for </w:t>
      </w:r>
      <w:proofErr w:type="spellStart"/>
      <w:r w:rsidRPr="007B4717">
        <w:rPr>
          <w:i/>
          <w:szCs w:val="24"/>
        </w:rPr>
        <w:t>Schuette</w:t>
      </w:r>
      <w:proofErr w:type="spellEnd"/>
      <w:r w:rsidRPr="007B4717">
        <w:rPr>
          <w:szCs w:val="24"/>
        </w:rPr>
        <w:t>.</w:t>
      </w:r>
      <w:r w:rsidRPr="009214F1">
        <w:rPr>
          <w:szCs w:val="24"/>
        </w:rPr>
        <w:t xml:space="preserve"> </w:t>
      </w:r>
      <w:r w:rsidRPr="007B4717">
        <w:rPr>
          <w:szCs w:val="24"/>
        </w:rPr>
        <w:t xml:space="preserve">This </w:t>
      </w:r>
      <w:r>
        <w:rPr>
          <w:szCs w:val="24"/>
        </w:rPr>
        <w:t xml:space="preserve">Michigan </w:t>
      </w:r>
      <w:r w:rsidRPr="007B4717">
        <w:rPr>
          <w:szCs w:val="24"/>
        </w:rPr>
        <w:t xml:space="preserve">case </w:t>
      </w:r>
      <w:r>
        <w:rPr>
          <w:szCs w:val="24"/>
        </w:rPr>
        <w:t xml:space="preserve">arose from developments subsequent to the Court’s </w:t>
      </w:r>
      <w:r w:rsidRPr="007B4717">
        <w:rPr>
          <w:szCs w:val="24"/>
        </w:rPr>
        <w:t xml:space="preserve">2003 </w:t>
      </w:r>
      <w:r>
        <w:rPr>
          <w:szCs w:val="24"/>
        </w:rPr>
        <w:t xml:space="preserve">decisions in </w:t>
      </w:r>
      <w:proofErr w:type="spellStart"/>
      <w:r w:rsidRPr="007B4717">
        <w:rPr>
          <w:i/>
          <w:szCs w:val="24"/>
        </w:rPr>
        <w:t>Gratz</w:t>
      </w:r>
      <w:proofErr w:type="spellEnd"/>
      <w:r w:rsidRPr="007B4717">
        <w:rPr>
          <w:i/>
          <w:szCs w:val="24"/>
        </w:rPr>
        <w:t xml:space="preserve"> v. Bollinger</w:t>
      </w:r>
      <w:r w:rsidRPr="007B4717">
        <w:rPr>
          <w:szCs w:val="24"/>
        </w:rPr>
        <w:t xml:space="preserve"> </w:t>
      </w:r>
      <w:r>
        <w:rPr>
          <w:szCs w:val="24"/>
        </w:rPr>
        <w:t xml:space="preserve">and </w:t>
      </w:r>
      <w:proofErr w:type="spellStart"/>
      <w:r w:rsidRPr="007B4717">
        <w:rPr>
          <w:i/>
          <w:szCs w:val="24"/>
        </w:rPr>
        <w:t>Grutter</w:t>
      </w:r>
      <w:proofErr w:type="spellEnd"/>
      <w:r w:rsidRPr="007B4717">
        <w:rPr>
          <w:i/>
          <w:szCs w:val="24"/>
        </w:rPr>
        <w:t xml:space="preserve"> v. </w:t>
      </w:r>
      <w:proofErr w:type="gramStart"/>
      <w:r w:rsidRPr="007B4717">
        <w:rPr>
          <w:i/>
          <w:szCs w:val="24"/>
        </w:rPr>
        <w:t>Bollinger</w:t>
      </w:r>
      <w:r>
        <w:rPr>
          <w:i/>
          <w:szCs w:val="24"/>
        </w:rPr>
        <w:t xml:space="preserve"> </w:t>
      </w:r>
      <w:r w:rsidRPr="007B4717">
        <w:rPr>
          <w:szCs w:val="24"/>
        </w:rPr>
        <w:t xml:space="preserve"> concerning</w:t>
      </w:r>
      <w:proofErr w:type="gramEnd"/>
      <w:r w:rsidRPr="007B4717">
        <w:rPr>
          <w:szCs w:val="24"/>
        </w:rPr>
        <w:t xml:space="preserve"> </w:t>
      </w:r>
      <w:r>
        <w:rPr>
          <w:szCs w:val="24"/>
        </w:rPr>
        <w:t>a</w:t>
      </w:r>
      <w:r w:rsidRPr="007B4717">
        <w:rPr>
          <w:szCs w:val="24"/>
        </w:rPr>
        <w:t xml:space="preserve">ffirmative </w:t>
      </w:r>
      <w:r>
        <w:rPr>
          <w:szCs w:val="24"/>
        </w:rPr>
        <w:t>a</w:t>
      </w:r>
      <w:r w:rsidRPr="007B4717">
        <w:rPr>
          <w:szCs w:val="24"/>
        </w:rPr>
        <w:t xml:space="preserve">ction </w:t>
      </w:r>
      <w:r>
        <w:rPr>
          <w:szCs w:val="24"/>
        </w:rPr>
        <w:t xml:space="preserve">programs at the University of </w:t>
      </w:r>
      <w:r w:rsidRPr="007B4717">
        <w:rPr>
          <w:szCs w:val="24"/>
        </w:rPr>
        <w:t>Michigan</w:t>
      </w:r>
      <w:r>
        <w:rPr>
          <w:szCs w:val="24"/>
        </w:rPr>
        <w:t xml:space="preserve">. </w:t>
      </w:r>
      <w:r w:rsidRPr="0049342B">
        <w:rPr>
          <w:szCs w:val="24"/>
        </w:rPr>
        <w:t xml:space="preserve">Following </w:t>
      </w:r>
      <w:proofErr w:type="spellStart"/>
      <w:r w:rsidRPr="0049342B">
        <w:rPr>
          <w:i/>
          <w:szCs w:val="24"/>
        </w:rPr>
        <w:t>Gratz</w:t>
      </w:r>
      <w:proofErr w:type="spellEnd"/>
      <w:r w:rsidRPr="0049342B">
        <w:rPr>
          <w:szCs w:val="24"/>
        </w:rPr>
        <w:t>, the college modified its admissions process, but still kept race as a factor. This action sparked a state-wide debate which culminated in 2006 with an amendment to the state constitution which prohibited governmental entities in Michigan from using race as a positive factor in their decisions. In particular, it banned the use of racial affirmative action programs at state universities.</w:t>
      </w:r>
      <w:r w:rsidRPr="00E11D38">
        <w:rPr>
          <w:szCs w:val="24"/>
        </w:rPr>
        <w:t xml:space="preserve"> </w:t>
      </w:r>
      <w:r w:rsidRPr="0049342B">
        <w:rPr>
          <w:szCs w:val="24"/>
        </w:rPr>
        <w:t>The Sixth Circuit Court of Appeals struck down the amendment</w:t>
      </w:r>
      <w:r w:rsidRPr="007B4717">
        <w:rPr>
          <w:szCs w:val="24"/>
        </w:rPr>
        <w:t xml:space="preserve"> on the basis that </w:t>
      </w:r>
      <w:r>
        <w:rPr>
          <w:szCs w:val="24"/>
        </w:rPr>
        <w:t xml:space="preserve">selectively transferring a decision regarding affirmative action from the “local” university board of trustees to the state level </w:t>
      </w:r>
      <w:r w:rsidRPr="007B4717">
        <w:rPr>
          <w:szCs w:val="24"/>
        </w:rPr>
        <w:t xml:space="preserve">directly mirrored </w:t>
      </w:r>
      <w:r>
        <w:rPr>
          <w:szCs w:val="24"/>
        </w:rPr>
        <w:t xml:space="preserve">the issue </w:t>
      </w:r>
      <w:r w:rsidRPr="007B4717">
        <w:rPr>
          <w:szCs w:val="24"/>
        </w:rPr>
        <w:t xml:space="preserve">presented in </w:t>
      </w:r>
      <w:r w:rsidRPr="007B4717">
        <w:rPr>
          <w:i/>
          <w:szCs w:val="24"/>
        </w:rPr>
        <w:t>Seattle</w:t>
      </w:r>
      <w:r w:rsidRPr="007A6A51">
        <w:rPr>
          <w:szCs w:val="24"/>
        </w:rPr>
        <w:t xml:space="preserve">. </w:t>
      </w:r>
      <w:r>
        <w:rPr>
          <w:szCs w:val="24"/>
        </w:rPr>
        <w:t>The court therefore employed strict scrutiny analysis and struck the amendment.</w:t>
      </w:r>
    </w:p>
    <w:p w:rsidR="00E43447" w:rsidRPr="007B4717" w:rsidRDefault="00E43447" w:rsidP="00E43447">
      <w:pPr>
        <w:spacing w:after="120"/>
        <w:ind w:firstLine="720"/>
        <w:jc w:val="both"/>
        <w:rPr>
          <w:szCs w:val="24"/>
        </w:rPr>
      </w:pPr>
      <w:r w:rsidRPr="0049342B">
        <w:rPr>
          <w:szCs w:val="24"/>
        </w:rPr>
        <w:t>However, in a splintered case, the Supreme Court reversed.</w:t>
      </w:r>
      <w:r>
        <w:rPr>
          <w:szCs w:val="24"/>
        </w:rPr>
        <w:t xml:space="preserve"> Justice Kennedy announced the judgment of the Court in an opinion joined only by Chief </w:t>
      </w:r>
      <w:r w:rsidRPr="007B4717">
        <w:rPr>
          <w:szCs w:val="24"/>
        </w:rPr>
        <w:t xml:space="preserve">Justice Roberts </w:t>
      </w:r>
      <w:r>
        <w:rPr>
          <w:szCs w:val="24"/>
        </w:rPr>
        <w:t>and Justice Alito</w:t>
      </w:r>
      <w:r w:rsidRPr="007B4717">
        <w:rPr>
          <w:szCs w:val="24"/>
        </w:rPr>
        <w:t>. The issue in the case, Justice Kennedy asserted</w:t>
      </w:r>
      <w:r>
        <w:rPr>
          <w:szCs w:val="24"/>
        </w:rPr>
        <w:t xml:space="preserve">, </w:t>
      </w:r>
      <w:r w:rsidRPr="007B4717">
        <w:rPr>
          <w:szCs w:val="24"/>
        </w:rPr>
        <w:t xml:space="preserve">centered not on whether such </w:t>
      </w:r>
      <w:r>
        <w:rPr>
          <w:szCs w:val="24"/>
        </w:rPr>
        <w:t xml:space="preserve">affirmative action </w:t>
      </w:r>
      <w:r w:rsidRPr="007B4717">
        <w:rPr>
          <w:szCs w:val="24"/>
        </w:rPr>
        <w:t>admissions policies are permissible, but whether voters in a state may prohibit such practices and, if they can, in what manner can they proceed to do so.</w:t>
      </w:r>
      <w:r>
        <w:rPr>
          <w:szCs w:val="24"/>
        </w:rPr>
        <w:t xml:space="preserve"> </w:t>
      </w:r>
      <w:r w:rsidRPr="007B4717">
        <w:rPr>
          <w:szCs w:val="24"/>
        </w:rPr>
        <w:t xml:space="preserve">First, he </w:t>
      </w:r>
      <w:r>
        <w:rPr>
          <w:szCs w:val="24"/>
        </w:rPr>
        <w:t>attempted to distinguish</w:t>
      </w:r>
      <w:r w:rsidRPr="007B4717">
        <w:rPr>
          <w:szCs w:val="24"/>
        </w:rPr>
        <w:t xml:space="preserve"> </w:t>
      </w:r>
      <w:r>
        <w:rPr>
          <w:szCs w:val="24"/>
        </w:rPr>
        <w:t xml:space="preserve">the </w:t>
      </w:r>
      <w:r w:rsidRPr="007B4717">
        <w:rPr>
          <w:szCs w:val="24"/>
        </w:rPr>
        <w:t xml:space="preserve">three </w:t>
      </w:r>
      <w:r>
        <w:rPr>
          <w:szCs w:val="24"/>
        </w:rPr>
        <w:t xml:space="preserve">earlier political process </w:t>
      </w:r>
      <w:r w:rsidRPr="007B4717">
        <w:rPr>
          <w:szCs w:val="24"/>
        </w:rPr>
        <w:t>cases</w:t>
      </w:r>
      <w:r>
        <w:rPr>
          <w:szCs w:val="24"/>
        </w:rPr>
        <w:t xml:space="preserve">. He stated </w:t>
      </w:r>
      <w:r w:rsidRPr="007B4717">
        <w:rPr>
          <w:szCs w:val="24"/>
        </w:rPr>
        <w:t xml:space="preserve">there was no specific harm like that found in </w:t>
      </w:r>
      <w:r w:rsidRPr="007B4717">
        <w:rPr>
          <w:i/>
          <w:szCs w:val="24"/>
        </w:rPr>
        <w:t xml:space="preserve">Hunter </w:t>
      </w:r>
      <w:r w:rsidRPr="007B4717">
        <w:rPr>
          <w:szCs w:val="24"/>
        </w:rPr>
        <w:t xml:space="preserve">or </w:t>
      </w:r>
      <w:r>
        <w:rPr>
          <w:i/>
          <w:szCs w:val="24"/>
        </w:rPr>
        <w:t>Reitman</w:t>
      </w:r>
      <w:r>
        <w:rPr>
          <w:szCs w:val="24"/>
        </w:rPr>
        <w:t>,</w:t>
      </w:r>
      <w:r w:rsidRPr="007B4717">
        <w:rPr>
          <w:szCs w:val="24"/>
        </w:rPr>
        <w:t xml:space="preserve"> </w:t>
      </w:r>
      <w:r>
        <w:rPr>
          <w:szCs w:val="24"/>
        </w:rPr>
        <w:t xml:space="preserve">and no </w:t>
      </w:r>
      <w:r w:rsidRPr="007B4717">
        <w:rPr>
          <w:szCs w:val="24"/>
        </w:rPr>
        <w:t xml:space="preserve">history of </w:t>
      </w:r>
      <w:r>
        <w:rPr>
          <w:szCs w:val="24"/>
        </w:rPr>
        <w:t xml:space="preserve">discriminatory conduct by the University like had occurred by </w:t>
      </w:r>
      <w:r w:rsidRPr="007B4717">
        <w:rPr>
          <w:szCs w:val="24"/>
        </w:rPr>
        <w:t>the school system</w:t>
      </w:r>
      <w:r>
        <w:rPr>
          <w:szCs w:val="24"/>
        </w:rPr>
        <w:t xml:space="preserve"> in</w:t>
      </w:r>
      <w:r w:rsidRPr="007B4717">
        <w:rPr>
          <w:szCs w:val="24"/>
        </w:rPr>
        <w:t xml:space="preserve"> </w:t>
      </w:r>
      <w:r w:rsidRPr="007B4717">
        <w:rPr>
          <w:i/>
          <w:szCs w:val="24"/>
        </w:rPr>
        <w:t>Seattle</w:t>
      </w:r>
      <w:r w:rsidRPr="00CA5C41">
        <w:rPr>
          <w:szCs w:val="24"/>
        </w:rPr>
        <w:t xml:space="preserve">. </w:t>
      </w:r>
      <w:r w:rsidRPr="0049342B">
        <w:rPr>
          <w:szCs w:val="24"/>
        </w:rPr>
        <w:t xml:space="preserve">He argued that there was no demonstrated “discrimination,” as affirmative action gives </w:t>
      </w:r>
      <w:proofErr w:type="gramStart"/>
      <w:r w:rsidRPr="0049342B">
        <w:rPr>
          <w:szCs w:val="24"/>
        </w:rPr>
        <w:t>minorities</w:t>
      </w:r>
      <w:proofErr w:type="gramEnd"/>
      <w:r w:rsidRPr="0049342B">
        <w:rPr>
          <w:szCs w:val="24"/>
        </w:rPr>
        <w:t xml:space="preserve"> </w:t>
      </w:r>
      <w:r w:rsidRPr="0049342B">
        <w:rPr>
          <w:i/>
          <w:szCs w:val="24"/>
        </w:rPr>
        <w:t>additional</w:t>
      </w:r>
      <w:r w:rsidRPr="0049342B">
        <w:rPr>
          <w:szCs w:val="24"/>
        </w:rPr>
        <w:t xml:space="preserve"> assistance; removing a benefit is different from taking away a privilege or right. The absence of affirmative action is not discrimination in and of </w:t>
      </w:r>
      <w:proofErr w:type="gramStart"/>
      <w:r w:rsidRPr="0049342B">
        <w:rPr>
          <w:szCs w:val="24"/>
        </w:rPr>
        <w:t>itself</w:t>
      </w:r>
      <w:proofErr w:type="gramEnd"/>
      <w:r w:rsidRPr="0049342B">
        <w:rPr>
          <w:szCs w:val="24"/>
        </w:rPr>
        <w:t xml:space="preserve"> and thus could not be considered a harm.</w:t>
      </w:r>
      <w:r w:rsidRPr="007B4717">
        <w:rPr>
          <w:szCs w:val="24"/>
        </w:rPr>
        <w:t xml:space="preserve"> Furthermore, while the Seattle city school system had a history in the 1940’s and 1950’s of discriminatory practices that aided segregation of its schools, the same </w:t>
      </w:r>
      <w:r>
        <w:rPr>
          <w:szCs w:val="24"/>
        </w:rPr>
        <w:t xml:space="preserve">could not </w:t>
      </w:r>
      <w:r w:rsidRPr="007B4717">
        <w:rPr>
          <w:szCs w:val="24"/>
        </w:rPr>
        <w:t>be said about the</w:t>
      </w:r>
      <w:r>
        <w:rPr>
          <w:szCs w:val="24"/>
        </w:rPr>
        <w:t xml:space="preserve"> universities </w:t>
      </w:r>
      <w:r w:rsidRPr="007B4717">
        <w:rPr>
          <w:szCs w:val="24"/>
        </w:rPr>
        <w:t xml:space="preserve">in Michigan. He stated that “[t]here is no authority in the Constitution of the United States or in the Court’s precedents for the Judiciary to set aside Michigan laws that commit this policy determination to the voters.” </w:t>
      </w:r>
    </w:p>
    <w:p w:rsidR="00E43447" w:rsidRPr="007B4717" w:rsidRDefault="00E43447" w:rsidP="00E43447">
      <w:pPr>
        <w:spacing w:after="120"/>
        <w:ind w:firstLine="720"/>
        <w:jc w:val="both"/>
        <w:rPr>
          <w:szCs w:val="24"/>
        </w:rPr>
      </w:pPr>
      <w:r w:rsidRPr="007B4717">
        <w:rPr>
          <w:szCs w:val="24"/>
        </w:rPr>
        <w:t xml:space="preserve">In both the </w:t>
      </w:r>
      <w:r w:rsidRPr="007B4717">
        <w:rPr>
          <w:i/>
          <w:szCs w:val="24"/>
        </w:rPr>
        <w:t xml:space="preserve">Hunter </w:t>
      </w:r>
      <w:r w:rsidRPr="007B4717">
        <w:rPr>
          <w:szCs w:val="24"/>
        </w:rPr>
        <w:t xml:space="preserve">and </w:t>
      </w:r>
      <w:r w:rsidRPr="007B4717">
        <w:rPr>
          <w:i/>
          <w:szCs w:val="24"/>
        </w:rPr>
        <w:t xml:space="preserve">Seattle </w:t>
      </w:r>
      <w:r w:rsidRPr="007B4717">
        <w:rPr>
          <w:szCs w:val="24"/>
        </w:rPr>
        <w:t xml:space="preserve">cases, a main focus was whether the act placed decision-making authority at another level of government than that in which it had previously existed, and did so in such a way as to burden minorities. </w:t>
      </w:r>
      <w:r>
        <w:rPr>
          <w:szCs w:val="24"/>
        </w:rPr>
        <w:t xml:space="preserve">In </w:t>
      </w:r>
      <w:proofErr w:type="spellStart"/>
      <w:r w:rsidRPr="00F3692C">
        <w:rPr>
          <w:i/>
          <w:szCs w:val="24"/>
        </w:rPr>
        <w:t>Schuette</w:t>
      </w:r>
      <w:proofErr w:type="spellEnd"/>
      <w:r>
        <w:rPr>
          <w:szCs w:val="24"/>
        </w:rPr>
        <w:t>,</w:t>
      </w:r>
      <w:r w:rsidRPr="007B4717">
        <w:rPr>
          <w:szCs w:val="24"/>
        </w:rPr>
        <w:t xml:space="preserve"> the decision-making authority was shifted from appointed boards of </w:t>
      </w:r>
      <w:r>
        <w:rPr>
          <w:szCs w:val="24"/>
        </w:rPr>
        <w:t>governors</w:t>
      </w:r>
      <w:r w:rsidRPr="007B4717">
        <w:rPr>
          <w:szCs w:val="24"/>
        </w:rPr>
        <w:t xml:space="preserve"> at universities an</w:t>
      </w:r>
      <w:r>
        <w:rPr>
          <w:szCs w:val="24"/>
        </w:rPr>
        <w:t>d</w:t>
      </w:r>
      <w:r w:rsidRPr="007B4717">
        <w:rPr>
          <w:szCs w:val="24"/>
        </w:rPr>
        <w:t xml:space="preserve"> instead put in the hands of the general public </w:t>
      </w:r>
      <w:r>
        <w:rPr>
          <w:szCs w:val="24"/>
        </w:rPr>
        <w:t>at the state level</w:t>
      </w:r>
      <w:r w:rsidRPr="007B4717">
        <w:rPr>
          <w:szCs w:val="24"/>
        </w:rPr>
        <w:t xml:space="preserve">. </w:t>
      </w:r>
      <w:r>
        <w:rPr>
          <w:szCs w:val="24"/>
        </w:rPr>
        <w:t>Kennedy contended that, u</w:t>
      </w:r>
      <w:r w:rsidRPr="007B4717">
        <w:rPr>
          <w:szCs w:val="24"/>
        </w:rPr>
        <w:t xml:space="preserve">nlike the other initiatives in the </w:t>
      </w:r>
      <w:r>
        <w:rPr>
          <w:szCs w:val="24"/>
        </w:rPr>
        <w:t>previous</w:t>
      </w:r>
      <w:r w:rsidRPr="007B4717">
        <w:rPr>
          <w:szCs w:val="24"/>
        </w:rPr>
        <w:t xml:space="preserve"> cases, this was a positive shift from a largely appointed form of government (university boards) to a public one (the electorate). This, </w:t>
      </w:r>
      <w:r>
        <w:rPr>
          <w:szCs w:val="24"/>
        </w:rPr>
        <w:t>Kennedy reasoned</w:t>
      </w:r>
      <w:r w:rsidRPr="007B4717">
        <w:rPr>
          <w:szCs w:val="24"/>
        </w:rPr>
        <w:t xml:space="preserve">, seems not </w:t>
      </w:r>
      <w:r>
        <w:rPr>
          <w:szCs w:val="24"/>
        </w:rPr>
        <w:t>to</w:t>
      </w:r>
      <w:r w:rsidRPr="007B4717">
        <w:rPr>
          <w:szCs w:val="24"/>
        </w:rPr>
        <w:t xml:space="preserve"> burden minorities, but rather permits them easier access to the political process and state wide changes.</w:t>
      </w:r>
    </w:p>
    <w:p w:rsidR="00E43447" w:rsidRDefault="00E43447" w:rsidP="00E43447">
      <w:pPr>
        <w:spacing w:after="120"/>
        <w:ind w:firstLine="720"/>
        <w:jc w:val="both"/>
        <w:rPr>
          <w:szCs w:val="24"/>
        </w:rPr>
      </w:pPr>
      <w:r w:rsidRPr="007B4717">
        <w:rPr>
          <w:szCs w:val="24"/>
        </w:rPr>
        <w:t xml:space="preserve">Justice Sotomayor, in </w:t>
      </w:r>
      <w:r>
        <w:rPr>
          <w:szCs w:val="24"/>
        </w:rPr>
        <w:t>a vigorous dissent, disagreed</w:t>
      </w:r>
      <w:r w:rsidRPr="007B4717">
        <w:rPr>
          <w:szCs w:val="24"/>
        </w:rPr>
        <w:t xml:space="preserve"> with t</w:t>
      </w:r>
      <w:r>
        <w:rPr>
          <w:szCs w:val="24"/>
        </w:rPr>
        <w:t>he plurality opinion and insisted</w:t>
      </w:r>
      <w:r w:rsidRPr="007B4717">
        <w:rPr>
          <w:szCs w:val="24"/>
        </w:rPr>
        <w:t xml:space="preserve"> that this case </w:t>
      </w:r>
      <w:r>
        <w:rPr>
          <w:szCs w:val="24"/>
        </w:rPr>
        <w:t xml:space="preserve">should </w:t>
      </w:r>
      <w:r w:rsidRPr="007B4717">
        <w:rPr>
          <w:szCs w:val="24"/>
        </w:rPr>
        <w:t xml:space="preserve">be </w:t>
      </w:r>
      <w:r>
        <w:rPr>
          <w:szCs w:val="24"/>
        </w:rPr>
        <w:t xml:space="preserve">decided </w:t>
      </w:r>
      <w:r w:rsidRPr="007B4717">
        <w:rPr>
          <w:szCs w:val="24"/>
        </w:rPr>
        <w:t>in li</w:t>
      </w:r>
      <w:r>
        <w:rPr>
          <w:szCs w:val="24"/>
        </w:rPr>
        <w:t xml:space="preserve">ne with </w:t>
      </w:r>
      <w:r w:rsidRPr="007B4717">
        <w:rPr>
          <w:szCs w:val="24"/>
        </w:rPr>
        <w:t xml:space="preserve">the political-process doctrine established in </w:t>
      </w:r>
      <w:r w:rsidRPr="007B4717">
        <w:rPr>
          <w:i/>
          <w:szCs w:val="24"/>
        </w:rPr>
        <w:t>Hunter</w:t>
      </w:r>
      <w:r w:rsidRPr="007B4717">
        <w:rPr>
          <w:szCs w:val="24"/>
        </w:rPr>
        <w:t xml:space="preserve"> </w:t>
      </w:r>
      <w:r w:rsidRPr="007B4717">
        <w:rPr>
          <w:szCs w:val="24"/>
        </w:rPr>
        <w:lastRenderedPageBreak/>
        <w:t xml:space="preserve">and expounded upon in </w:t>
      </w:r>
      <w:r w:rsidRPr="007B4717">
        <w:rPr>
          <w:i/>
          <w:szCs w:val="24"/>
        </w:rPr>
        <w:t>Seattle</w:t>
      </w:r>
      <w:r>
        <w:rPr>
          <w:szCs w:val="24"/>
        </w:rPr>
        <w:t xml:space="preserve">. She therefore </w:t>
      </w:r>
      <w:r w:rsidRPr="007B4717">
        <w:rPr>
          <w:szCs w:val="24"/>
        </w:rPr>
        <w:t>appl</w:t>
      </w:r>
      <w:r>
        <w:rPr>
          <w:szCs w:val="24"/>
        </w:rPr>
        <w:t>ied</w:t>
      </w:r>
      <w:r w:rsidRPr="007B4717">
        <w:rPr>
          <w:szCs w:val="24"/>
        </w:rPr>
        <w:t xml:space="preserve"> strict scrutiny to the Michigan amendment and f</w:t>
      </w:r>
      <w:r>
        <w:rPr>
          <w:szCs w:val="24"/>
        </w:rPr>
        <w:t>ound</w:t>
      </w:r>
      <w:r w:rsidRPr="007B4717">
        <w:rPr>
          <w:szCs w:val="24"/>
        </w:rPr>
        <w:t xml:space="preserve"> it unconstitutional. She wrote that the United States has a “long and lamentable” record of denying racial </w:t>
      </w:r>
      <w:proofErr w:type="gramStart"/>
      <w:r w:rsidRPr="007B4717">
        <w:rPr>
          <w:szCs w:val="24"/>
        </w:rPr>
        <w:t>minorities</w:t>
      </w:r>
      <w:proofErr w:type="gramEnd"/>
      <w:r w:rsidRPr="007B4717">
        <w:rPr>
          <w:szCs w:val="24"/>
        </w:rPr>
        <w:t xml:space="preserve"> equal participation in the political process. Those who were opposed to the affirmative action principles being implemented at their state’s public universities could have lobbied the boards or </w:t>
      </w:r>
      <w:r>
        <w:rPr>
          <w:szCs w:val="24"/>
        </w:rPr>
        <w:t xml:space="preserve">acted </w:t>
      </w:r>
      <w:r w:rsidRPr="007B4717">
        <w:rPr>
          <w:szCs w:val="24"/>
        </w:rPr>
        <w:t xml:space="preserve">through the electoral process </w:t>
      </w:r>
      <w:r>
        <w:rPr>
          <w:szCs w:val="24"/>
        </w:rPr>
        <w:t>to change</w:t>
      </w:r>
      <w:r w:rsidRPr="007B4717">
        <w:rPr>
          <w:szCs w:val="24"/>
        </w:rPr>
        <w:t xml:space="preserve"> the membership of the boards in question, and thus left decision-making power with the state entities in which it was originally vested. In short, </w:t>
      </w:r>
      <w:r>
        <w:rPr>
          <w:szCs w:val="24"/>
        </w:rPr>
        <w:t>s</w:t>
      </w:r>
      <w:r w:rsidRPr="007B4717">
        <w:rPr>
          <w:szCs w:val="24"/>
        </w:rPr>
        <w:t xml:space="preserve">he stated that by allowing this initiative, those who </w:t>
      </w:r>
      <w:r>
        <w:rPr>
          <w:szCs w:val="24"/>
        </w:rPr>
        <w:t>previously could appeal to the “local”</w:t>
      </w:r>
      <w:r w:rsidRPr="007B4717">
        <w:rPr>
          <w:szCs w:val="24"/>
        </w:rPr>
        <w:t xml:space="preserve"> </w:t>
      </w:r>
      <w:r>
        <w:rPr>
          <w:szCs w:val="24"/>
        </w:rPr>
        <w:t xml:space="preserve">university </w:t>
      </w:r>
      <w:r w:rsidRPr="007B4717">
        <w:rPr>
          <w:szCs w:val="24"/>
        </w:rPr>
        <w:t xml:space="preserve">board of governors </w:t>
      </w:r>
      <w:r>
        <w:rPr>
          <w:szCs w:val="24"/>
        </w:rPr>
        <w:t xml:space="preserve">to adopt an affirmative action program for admissions </w:t>
      </w:r>
      <w:r w:rsidRPr="007B4717">
        <w:rPr>
          <w:szCs w:val="24"/>
        </w:rPr>
        <w:t xml:space="preserve">based on race now have to </w:t>
      </w:r>
      <w:r>
        <w:rPr>
          <w:szCs w:val="24"/>
        </w:rPr>
        <w:t>amend the state constitution</w:t>
      </w:r>
      <w:r w:rsidRPr="007B4717">
        <w:rPr>
          <w:szCs w:val="24"/>
        </w:rPr>
        <w:t xml:space="preserve">, while those who ask for preferential treatment based on </w:t>
      </w:r>
      <w:r>
        <w:rPr>
          <w:szCs w:val="24"/>
        </w:rPr>
        <w:t xml:space="preserve">an </w:t>
      </w:r>
      <w:r w:rsidRPr="007B4717">
        <w:rPr>
          <w:szCs w:val="24"/>
        </w:rPr>
        <w:t>alumni-legacy connection or any other grounds may still do so th</w:t>
      </w:r>
      <w:r>
        <w:rPr>
          <w:szCs w:val="24"/>
        </w:rPr>
        <w:t>r</w:t>
      </w:r>
      <w:r w:rsidRPr="007B4717">
        <w:rPr>
          <w:szCs w:val="24"/>
        </w:rPr>
        <w:t>ough the board of governors</w:t>
      </w:r>
      <w:r>
        <w:rPr>
          <w:szCs w:val="24"/>
        </w:rPr>
        <w:t xml:space="preserve">. Sotomayor contended </w:t>
      </w:r>
      <w:r w:rsidRPr="007B4717">
        <w:rPr>
          <w:szCs w:val="24"/>
        </w:rPr>
        <w:t xml:space="preserve">that this </w:t>
      </w:r>
      <w:r>
        <w:rPr>
          <w:szCs w:val="24"/>
        </w:rPr>
        <w:t xml:space="preserve">constitutes </w:t>
      </w:r>
      <w:r w:rsidRPr="007B4717">
        <w:rPr>
          <w:szCs w:val="24"/>
        </w:rPr>
        <w:t xml:space="preserve">a patented unfairness to racial minorities.  </w:t>
      </w:r>
    </w:p>
    <w:p w:rsidR="00E43447" w:rsidRPr="001B4E36" w:rsidRDefault="00E43447" w:rsidP="00E43447">
      <w:pPr>
        <w:spacing w:after="120"/>
        <w:ind w:firstLine="720"/>
        <w:jc w:val="both"/>
        <w:rPr>
          <w:szCs w:val="24"/>
        </w:rPr>
      </w:pPr>
      <w:r>
        <w:rPr>
          <w:szCs w:val="24"/>
        </w:rPr>
        <w:t xml:space="preserve">Justice Scalia, joined by Justice Thomas, agreed with Justice Sotomayor that the political process cases should apply </w:t>
      </w:r>
      <w:r w:rsidRPr="009214F1">
        <w:rPr>
          <w:i/>
          <w:szCs w:val="24"/>
        </w:rPr>
        <w:t>if</w:t>
      </w:r>
      <w:r>
        <w:rPr>
          <w:szCs w:val="24"/>
        </w:rPr>
        <w:t xml:space="preserve"> they represented good law, but he would directly overrule them. Consequently, he concurred only in the judgment.</w:t>
      </w:r>
    </w:p>
    <w:p w:rsidR="00E43447" w:rsidRPr="00446EF5" w:rsidRDefault="00E43447" w:rsidP="00E43447">
      <w:pPr>
        <w:pStyle w:val="Default"/>
        <w:spacing w:after="120"/>
        <w:ind w:firstLine="720"/>
        <w:jc w:val="both"/>
        <w:rPr>
          <w:rFonts w:ascii="Times New Roman" w:hAnsi="Times New Roman" w:cs="Times New Roman"/>
          <w:b/>
          <w:color w:val="auto"/>
        </w:rPr>
      </w:pPr>
      <w:proofErr w:type="spellStart"/>
      <w:r w:rsidRPr="00F3692C">
        <w:rPr>
          <w:rFonts w:ascii="Times New Roman" w:hAnsi="Times New Roman"/>
          <w:i/>
        </w:rPr>
        <w:t>Schuette</w:t>
      </w:r>
      <w:proofErr w:type="spellEnd"/>
      <w:r w:rsidRPr="007B4717">
        <w:rPr>
          <w:rFonts w:ascii="Times New Roman" w:hAnsi="Times New Roman"/>
        </w:rPr>
        <w:t xml:space="preserve"> is significant because it suggests </w:t>
      </w:r>
      <w:r>
        <w:rPr>
          <w:rFonts w:ascii="Times New Roman" w:hAnsi="Times New Roman"/>
        </w:rPr>
        <w:t>the Court implicitly overturned</w:t>
      </w:r>
      <w:r w:rsidRPr="007B4717">
        <w:rPr>
          <w:rFonts w:ascii="Times New Roman" w:hAnsi="Times New Roman"/>
        </w:rPr>
        <w:t xml:space="preserve"> the “political process doctrine,” by distinguishing the case in such a way that the rule from </w:t>
      </w:r>
      <w:r w:rsidRPr="007B4717">
        <w:rPr>
          <w:rFonts w:ascii="Times New Roman" w:hAnsi="Times New Roman"/>
          <w:i/>
        </w:rPr>
        <w:t xml:space="preserve">Hunter </w:t>
      </w:r>
      <w:r w:rsidRPr="007B4717">
        <w:rPr>
          <w:rFonts w:ascii="Times New Roman" w:hAnsi="Times New Roman"/>
        </w:rPr>
        <w:t xml:space="preserve">and </w:t>
      </w:r>
      <w:r w:rsidRPr="007B4717">
        <w:rPr>
          <w:rFonts w:ascii="Times New Roman" w:hAnsi="Times New Roman"/>
          <w:i/>
        </w:rPr>
        <w:t xml:space="preserve">Seattle </w:t>
      </w:r>
      <w:r>
        <w:rPr>
          <w:rFonts w:ascii="Times New Roman" w:hAnsi="Times New Roman"/>
        </w:rPr>
        <w:t>was</w:t>
      </w:r>
      <w:r w:rsidRPr="007B4717">
        <w:rPr>
          <w:rFonts w:ascii="Times New Roman" w:hAnsi="Times New Roman"/>
        </w:rPr>
        <w:t xml:space="preserve"> effectively inapplicable. The ruling in this case, while not </w:t>
      </w:r>
      <w:r>
        <w:rPr>
          <w:rFonts w:ascii="Times New Roman" w:hAnsi="Times New Roman"/>
        </w:rPr>
        <w:t xml:space="preserve">that of </w:t>
      </w:r>
      <w:r w:rsidRPr="007B4717">
        <w:rPr>
          <w:rFonts w:ascii="Times New Roman" w:hAnsi="Times New Roman"/>
        </w:rPr>
        <w:t xml:space="preserve">a majority of the Court, does indicate a withdrawal from </w:t>
      </w:r>
      <w:r w:rsidRPr="00996DE4">
        <w:rPr>
          <w:rFonts w:ascii="Times New Roman" w:hAnsi="Times New Roman"/>
          <w:i/>
        </w:rPr>
        <w:t>Hunter</w:t>
      </w:r>
      <w:r>
        <w:rPr>
          <w:rFonts w:ascii="Times New Roman" w:hAnsi="Times New Roman"/>
        </w:rPr>
        <w:t xml:space="preserve"> and </w:t>
      </w:r>
      <w:r w:rsidRPr="00996DE4">
        <w:rPr>
          <w:rFonts w:ascii="Times New Roman" w:hAnsi="Times New Roman"/>
          <w:i/>
        </w:rPr>
        <w:t>Seattle</w:t>
      </w:r>
      <w:r w:rsidRPr="007B4717">
        <w:rPr>
          <w:rFonts w:ascii="Times New Roman" w:hAnsi="Times New Roman"/>
        </w:rPr>
        <w:t xml:space="preserve"> and signals to other states that they, too, may begin the proc</w:t>
      </w:r>
      <w:r>
        <w:rPr>
          <w:rFonts w:ascii="Times New Roman" w:hAnsi="Times New Roman"/>
        </w:rPr>
        <w:t>ess of eliminating affirmative a</w:t>
      </w:r>
      <w:r w:rsidRPr="007B4717">
        <w:rPr>
          <w:rFonts w:ascii="Times New Roman" w:hAnsi="Times New Roman"/>
        </w:rPr>
        <w:t>ction</w:t>
      </w:r>
      <w:r>
        <w:rPr>
          <w:rFonts w:ascii="Times New Roman" w:hAnsi="Times New Roman"/>
        </w:rPr>
        <w:t xml:space="preserve"> efforts initiated by universities</w:t>
      </w:r>
      <w:r w:rsidRPr="007B4717">
        <w:rPr>
          <w:rFonts w:ascii="Times New Roman" w:hAnsi="Times New Roman"/>
        </w:rPr>
        <w:t xml:space="preserve"> through </w:t>
      </w:r>
      <w:r>
        <w:rPr>
          <w:rFonts w:ascii="Times New Roman" w:hAnsi="Times New Roman"/>
        </w:rPr>
        <w:t>state-wide action.</w:t>
      </w:r>
    </w:p>
    <w:p w:rsidR="00E43447" w:rsidRDefault="00E43447" w:rsidP="00E43447"/>
    <w:p w:rsidR="006F3743" w:rsidRDefault="006F3743"/>
    <w:sectPr w:rsidR="006F37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447"/>
    <w:rsid w:val="006F3743"/>
    <w:rsid w:val="00E434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447"/>
    <w:pPr>
      <w:spacing w:after="0" w:line="240" w:lineRule="auto"/>
    </w:pPr>
    <w:rPr>
      <w:rFonts w:eastAsia="Times New Roman" w:cs="Times New Roman"/>
      <w:szCs w:val="20"/>
    </w:rPr>
  </w:style>
  <w:style w:type="paragraph" w:styleId="Heading3">
    <w:name w:val="heading 3"/>
    <w:basedOn w:val="Normal"/>
    <w:next w:val="Normal"/>
    <w:link w:val="Heading3Char"/>
    <w:uiPriority w:val="9"/>
    <w:qFormat/>
    <w:rsid w:val="00E43447"/>
    <w:pPr>
      <w:widowControl w:val="0"/>
      <w:jc w:val="center"/>
      <w:outlineLvl w:val="2"/>
    </w:pPr>
    <w:rPr>
      <w:b/>
      <w:i/>
      <w:szCs w:val="24"/>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43447"/>
    <w:rPr>
      <w:rFonts w:eastAsia="Times New Roman" w:cs="Times New Roman"/>
      <w:b/>
      <w:i/>
      <w:szCs w:val="24"/>
      <w:lang w:val="x-none"/>
    </w:rPr>
  </w:style>
  <w:style w:type="paragraph" w:customStyle="1" w:styleId="Default">
    <w:name w:val="Default"/>
    <w:rsid w:val="00E43447"/>
    <w:pPr>
      <w:autoSpaceDE w:val="0"/>
      <w:autoSpaceDN w:val="0"/>
      <w:adjustRightInd w:val="0"/>
      <w:spacing w:after="0" w:line="240" w:lineRule="auto"/>
    </w:pPr>
    <w:rPr>
      <w:rFonts w:ascii="Century Schoolbook" w:eastAsia="Calibri" w:hAnsi="Century Schoolbook" w:cs="Century Schoolbook"/>
      <w:color w:val="000000"/>
      <w:szCs w:val="24"/>
    </w:rPr>
  </w:style>
  <w:style w:type="character" w:customStyle="1" w:styleId="apple-converted-space">
    <w:name w:val="apple-converted-space"/>
    <w:rsid w:val="00E434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447"/>
    <w:pPr>
      <w:spacing w:after="0" w:line="240" w:lineRule="auto"/>
    </w:pPr>
    <w:rPr>
      <w:rFonts w:eastAsia="Times New Roman" w:cs="Times New Roman"/>
      <w:szCs w:val="20"/>
    </w:rPr>
  </w:style>
  <w:style w:type="paragraph" w:styleId="Heading3">
    <w:name w:val="heading 3"/>
    <w:basedOn w:val="Normal"/>
    <w:next w:val="Normal"/>
    <w:link w:val="Heading3Char"/>
    <w:uiPriority w:val="9"/>
    <w:qFormat/>
    <w:rsid w:val="00E43447"/>
    <w:pPr>
      <w:widowControl w:val="0"/>
      <w:jc w:val="center"/>
      <w:outlineLvl w:val="2"/>
    </w:pPr>
    <w:rPr>
      <w:b/>
      <w:i/>
      <w:szCs w:val="24"/>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43447"/>
    <w:rPr>
      <w:rFonts w:eastAsia="Times New Roman" w:cs="Times New Roman"/>
      <w:b/>
      <w:i/>
      <w:szCs w:val="24"/>
      <w:lang w:val="x-none"/>
    </w:rPr>
  </w:style>
  <w:style w:type="paragraph" w:customStyle="1" w:styleId="Default">
    <w:name w:val="Default"/>
    <w:rsid w:val="00E43447"/>
    <w:pPr>
      <w:autoSpaceDE w:val="0"/>
      <w:autoSpaceDN w:val="0"/>
      <w:adjustRightInd w:val="0"/>
      <w:spacing w:after="0" w:line="240" w:lineRule="auto"/>
    </w:pPr>
    <w:rPr>
      <w:rFonts w:ascii="Century Schoolbook" w:eastAsia="Calibri" w:hAnsi="Century Schoolbook" w:cs="Century Schoolbook"/>
      <w:color w:val="000000"/>
      <w:szCs w:val="24"/>
    </w:rPr>
  </w:style>
  <w:style w:type="character" w:customStyle="1" w:styleId="apple-converted-space">
    <w:name w:val="apple-converted-space"/>
    <w:rsid w:val="00E434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1508</Words>
  <Characters>8597</Characters>
  <Application>Microsoft Office Word</Application>
  <DocSecurity>0</DocSecurity>
  <Lines>71</Lines>
  <Paragraphs>20</Paragraphs>
  <ScaleCrop>false</ScaleCrop>
  <Company/>
  <LinksUpToDate>false</LinksUpToDate>
  <CharactersWithSpaces>10085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2016-07-21T00:17:00Z</dcterms:created>
  <dcterms:modified xsi:type="dcterms:W3CDTF">2016-07-21T00:18:00Z</dcterms:modified>
</cp:coreProperties>
</file>