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61A1" w:rsidRPr="0033257E" w:rsidRDefault="000D61A1" w:rsidP="003325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1A1">
        <w:rPr>
          <w:rFonts w:ascii="Times New Roman" w:hAnsi="Times New Roman" w:cs="Times New Roman"/>
          <w:b/>
          <w:sz w:val="24"/>
          <w:szCs w:val="24"/>
        </w:rPr>
        <w:t>Reitman v. Mulkey</w:t>
      </w:r>
    </w:p>
    <w:p w:rsidR="0033257E" w:rsidRDefault="0033257E" w:rsidP="000D61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0D61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387 U.S. 369 (1967)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[Majority: White, Warren (C.J.), Brennan, Douglas, and Fortas. Concurrence: Douglas.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Dissent: Harlan, Black, Clark, Stewart.]</w:t>
      </w:r>
    </w:p>
    <w:p w:rsidR="000D61A1" w:rsidRP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0D61A1">
        <w:rPr>
          <w:rFonts w:ascii="Times New Roman" w:hAnsi="Times New Roman" w:cs="Times New Roman"/>
          <w:b/>
          <w:sz w:val="24"/>
          <w:szCs w:val="24"/>
        </w:rPr>
        <w:t>Mr. Justice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b/>
          <w:sz w:val="24"/>
          <w:szCs w:val="24"/>
        </w:rPr>
        <w:t>White delivered the opinion of the Court.</w:t>
      </w:r>
    </w:p>
    <w:p w:rsidR="000D61A1" w:rsidRP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The question here is whether Art. I, §26, of the California Constitution denies “to any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person . . . the equal protection of the laws” within the meaning of the 14th Amendment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of the Constitution of the United States. Section 26 of Art. I, an initiated measure submitted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to the people as Proposition 14 in a statewide ballot in 1964, provides in part 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follows:</w:t>
      </w:r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0D61A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Neither the State nor any subdivision or agency thereof shall deny, limit or</w:t>
      </w:r>
      <w:r>
        <w:rPr>
          <w:rFonts w:ascii="Times New Roman" w:hAnsi="Times New Roman" w:cs="Times New Roman"/>
          <w:sz w:val="24"/>
          <w:szCs w:val="24"/>
        </w:rPr>
        <w:t xml:space="preserve"> abridge, </w:t>
      </w:r>
      <w:r w:rsidRPr="000D61A1">
        <w:rPr>
          <w:rFonts w:ascii="Times New Roman" w:hAnsi="Times New Roman" w:cs="Times New Roman"/>
          <w:sz w:val="24"/>
          <w:szCs w:val="24"/>
        </w:rPr>
        <w:t>directly or indirectly, the right of any person, who is willing or desires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to sell, lease or rent any part or all of his real property, to decline to sell, lease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rent such property to such person or persons as he, in his absolute discretion,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chooses.</w:t>
      </w:r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The real property covered by § 26 is limited to residential property and contains 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exception for state-owned real estate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 xml:space="preserve">[T]he </w:t>
      </w:r>
      <w:proofErr w:type="spellStart"/>
      <w:r w:rsidRPr="000D61A1">
        <w:rPr>
          <w:rFonts w:ascii="Times New Roman" w:hAnsi="Times New Roman" w:cs="Times New Roman"/>
          <w:sz w:val="24"/>
          <w:szCs w:val="24"/>
        </w:rPr>
        <w:t>Mulkeys</w:t>
      </w:r>
      <w:proofErr w:type="spellEnd"/>
      <w:r w:rsidRPr="000D61A1">
        <w:rPr>
          <w:rFonts w:ascii="Times New Roman" w:hAnsi="Times New Roman" w:cs="Times New Roman"/>
          <w:sz w:val="24"/>
          <w:szCs w:val="24"/>
        </w:rPr>
        <w:t xml:space="preserve"> who are husband and wife and respondents here, sued under §51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§ 52 of the California Civil Code alleging that petitioners had refused to rent them 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apartment solely on account of their race. An injunction and damages were demanded.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Petitioners moved for summary judgment on the ground that §§51 and 52, insofar 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they were the basis for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1A1">
        <w:rPr>
          <w:rFonts w:ascii="Times New Roman" w:hAnsi="Times New Roman" w:cs="Times New Roman"/>
          <w:sz w:val="24"/>
          <w:szCs w:val="24"/>
        </w:rPr>
        <w:t>Mulkeys</w:t>
      </w:r>
      <w:proofErr w:type="spellEnd"/>
      <w:r w:rsidRPr="000D61A1">
        <w:rPr>
          <w:rFonts w:ascii="Times New Roman" w:hAnsi="Times New Roman" w:cs="Times New Roman"/>
          <w:sz w:val="24"/>
          <w:szCs w:val="24"/>
        </w:rPr>
        <w:t>’ action, had been rendered null and void by the adoption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of Proposition 14 after the filing of the complaint. The trial court granted the motion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and respondents took the case to the California Supreme Court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That court, in reversing, held that Art. I, §26, was invalid as denying the equal protection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of the laws guaranteed by the 14th Amendment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 xml:space="preserve">. . . 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We granted certiorari because </w:t>
      </w:r>
      <w:r w:rsidRPr="000D61A1">
        <w:rPr>
          <w:rFonts w:ascii="Times New Roman" w:hAnsi="Times New Roman" w:cs="Times New Roman"/>
          <w:sz w:val="24"/>
          <w:szCs w:val="24"/>
        </w:rPr>
        <w:t>the cases involve an important issue arising under the 14th Amendment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We affirm the judgments of the California Supreme Court. We first turn to the opinion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of that court, which quite properly undertook to exami</w:t>
      </w:r>
      <w:r>
        <w:rPr>
          <w:rFonts w:ascii="Times New Roman" w:hAnsi="Times New Roman" w:cs="Times New Roman"/>
          <w:sz w:val="24"/>
          <w:szCs w:val="24"/>
        </w:rPr>
        <w:t xml:space="preserve">ne the constitutionality of §26 </w:t>
      </w:r>
      <w:r w:rsidRPr="000D61A1">
        <w:rPr>
          <w:rFonts w:ascii="Times New Roman" w:hAnsi="Times New Roman" w:cs="Times New Roman"/>
          <w:sz w:val="24"/>
          <w:szCs w:val="24"/>
        </w:rPr>
        <w:t xml:space="preserve">in terms of its “immediate objective,” its “ultimate effect” </w:t>
      </w:r>
      <w:r>
        <w:rPr>
          <w:rFonts w:ascii="Times New Roman" w:hAnsi="Times New Roman" w:cs="Times New Roman"/>
          <w:sz w:val="24"/>
          <w:szCs w:val="24"/>
        </w:rPr>
        <w:t xml:space="preserve">and its “historical context and </w:t>
      </w:r>
      <w:r w:rsidRPr="000D61A1">
        <w:rPr>
          <w:rFonts w:ascii="Times New Roman" w:hAnsi="Times New Roman" w:cs="Times New Roman"/>
          <w:sz w:val="24"/>
          <w:szCs w:val="24"/>
        </w:rPr>
        <w:t>the conditions existing prior to its enactment.” Judgments s</w:t>
      </w:r>
      <w:r>
        <w:rPr>
          <w:rFonts w:ascii="Times New Roman" w:hAnsi="Times New Roman" w:cs="Times New Roman"/>
          <w:sz w:val="24"/>
          <w:szCs w:val="24"/>
        </w:rPr>
        <w:t xml:space="preserve">uch as these we have frequently </w:t>
      </w:r>
      <w:r w:rsidRPr="000D61A1">
        <w:rPr>
          <w:rFonts w:ascii="Times New Roman" w:hAnsi="Times New Roman" w:cs="Times New Roman"/>
          <w:sz w:val="24"/>
          <w:szCs w:val="24"/>
        </w:rPr>
        <w:t>undertaken ourselves. But here the California Sup</w:t>
      </w:r>
      <w:r>
        <w:rPr>
          <w:rFonts w:ascii="Times New Roman" w:hAnsi="Times New Roman" w:cs="Times New Roman"/>
          <w:sz w:val="24"/>
          <w:szCs w:val="24"/>
        </w:rPr>
        <w:t xml:space="preserve">reme Court has addressed itself </w:t>
      </w:r>
      <w:r w:rsidRPr="000D61A1">
        <w:rPr>
          <w:rFonts w:ascii="Times New Roman" w:hAnsi="Times New Roman" w:cs="Times New Roman"/>
          <w:sz w:val="24"/>
          <w:szCs w:val="24"/>
        </w:rPr>
        <w:t>to these matters and we should give careful consider</w:t>
      </w:r>
      <w:r>
        <w:rPr>
          <w:rFonts w:ascii="Times New Roman" w:hAnsi="Times New Roman" w:cs="Times New Roman"/>
          <w:sz w:val="24"/>
          <w:szCs w:val="24"/>
        </w:rPr>
        <w:t xml:space="preserve">ation to its views because they </w:t>
      </w:r>
      <w:r w:rsidRPr="000D61A1">
        <w:rPr>
          <w:rFonts w:ascii="Times New Roman" w:hAnsi="Times New Roman" w:cs="Times New Roman"/>
          <w:sz w:val="24"/>
          <w:szCs w:val="24"/>
        </w:rPr>
        <w:t>concern the purpose, scope, and operative effect of a provision of the California Constitution.</w:t>
      </w:r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First, the court considered whether §26 was concerned at all with private discriminations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in residential housing. This involved a review of past efforts by the California Legislature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to regulate such discriminations. The Unruh Act, Civ. Code §§51–52, on which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respondents based their cases, was passed in 1959. The Hawkins Act, formerly Health &amp;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Safety Code §§ 35700–</w:t>
      </w:r>
      <w:r w:rsidRPr="000D61A1">
        <w:rPr>
          <w:rFonts w:ascii="Times New Roman" w:hAnsi="Times New Roman" w:cs="Times New Roman"/>
          <w:sz w:val="24"/>
          <w:szCs w:val="24"/>
        </w:rPr>
        <w:lastRenderedPageBreak/>
        <w:t>35741, followed and prohibited discriminations in publicly assisted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housing. In 1961, the legislature enacted proscriptions against restrictive covenants.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Finally, in 1963, came the Rumford Fair Housing Act, Health &amp; Safety Code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§§35700–35744, superseding the Hawkins Act and prohibiting racial discriminations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the sale or rental of any private dwelling containing more than four units. That act 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enforceable by the</w:t>
      </w:r>
      <w:r>
        <w:rPr>
          <w:rFonts w:ascii="Times New Roman" w:hAnsi="Times New Roman" w:cs="Times New Roman"/>
          <w:sz w:val="24"/>
          <w:szCs w:val="24"/>
        </w:rPr>
        <w:t xml:space="preserve"> State Fair Employment Practice </w:t>
      </w:r>
      <w:r w:rsidRPr="000D61A1">
        <w:rPr>
          <w:rFonts w:ascii="Times New Roman" w:hAnsi="Times New Roman" w:cs="Times New Roman"/>
          <w:sz w:val="24"/>
          <w:szCs w:val="24"/>
        </w:rPr>
        <w:t>Commission.</w:t>
      </w:r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It was against this background that Proposition 14 was enacted. Its immediate design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and intent, the California court said, were “to overturn st</w:t>
      </w:r>
      <w:r>
        <w:rPr>
          <w:rFonts w:ascii="Times New Roman" w:hAnsi="Times New Roman" w:cs="Times New Roman"/>
          <w:sz w:val="24"/>
          <w:szCs w:val="24"/>
        </w:rPr>
        <w:t xml:space="preserve">ate laws that bore on the right </w:t>
      </w:r>
      <w:r w:rsidRPr="000D61A1">
        <w:rPr>
          <w:rFonts w:ascii="Times New Roman" w:hAnsi="Times New Roman" w:cs="Times New Roman"/>
          <w:sz w:val="24"/>
          <w:szCs w:val="24"/>
        </w:rPr>
        <w:t xml:space="preserve">of private sellers and lessors to discriminate,” the Unruh and </w:t>
      </w:r>
      <w:r>
        <w:rPr>
          <w:rFonts w:ascii="Times New Roman" w:hAnsi="Times New Roman" w:cs="Times New Roman"/>
          <w:sz w:val="24"/>
          <w:szCs w:val="24"/>
        </w:rPr>
        <w:t xml:space="preserve">Rumford Acts, and “to forestall </w:t>
      </w:r>
      <w:r w:rsidRPr="000D61A1">
        <w:rPr>
          <w:rFonts w:ascii="Times New Roman" w:hAnsi="Times New Roman" w:cs="Times New Roman"/>
          <w:sz w:val="24"/>
          <w:szCs w:val="24"/>
        </w:rPr>
        <w:t>future state action that might circumscribe this ri</w:t>
      </w:r>
      <w:r>
        <w:rPr>
          <w:rFonts w:ascii="Times New Roman" w:hAnsi="Times New Roman" w:cs="Times New Roman"/>
          <w:sz w:val="24"/>
          <w:szCs w:val="24"/>
        </w:rPr>
        <w:t xml:space="preserve">ght.” This aim was successfully </w:t>
      </w:r>
      <w:r w:rsidRPr="000D61A1">
        <w:rPr>
          <w:rFonts w:ascii="Times New Roman" w:hAnsi="Times New Roman" w:cs="Times New Roman"/>
          <w:sz w:val="24"/>
          <w:szCs w:val="24"/>
        </w:rPr>
        <w:t>achieved: the adoption of Proposition 14 “generally nulli</w:t>
      </w:r>
      <w:r>
        <w:rPr>
          <w:rFonts w:ascii="Times New Roman" w:hAnsi="Times New Roman" w:cs="Times New Roman"/>
          <w:sz w:val="24"/>
          <w:szCs w:val="24"/>
        </w:rPr>
        <w:t xml:space="preserve">fies both the Rumford and Unruh </w:t>
      </w:r>
      <w:r w:rsidRPr="000D61A1">
        <w:rPr>
          <w:rFonts w:ascii="Times New Roman" w:hAnsi="Times New Roman" w:cs="Times New Roman"/>
          <w:sz w:val="24"/>
          <w:szCs w:val="24"/>
        </w:rPr>
        <w:t>Acts as they apply to the housing market,” and establis</w:t>
      </w:r>
      <w:r>
        <w:rPr>
          <w:rFonts w:ascii="Times New Roman" w:hAnsi="Times New Roman" w:cs="Times New Roman"/>
          <w:sz w:val="24"/>
          <w:szCs w:val="24"/>
        </w:rPr>
        <w:t xml:space="preserve">hes “a purported constitutional </w:t>
      </w:r>
      <w:r w:rsidRPr="000D61A1">
        <w:rPr>
          <w:rFonts w:ascii="Times New Roman" w:hAnsi="Times New Roman" w:cs="Times New Roman"/>
          <w:sz w:val="24"/>
          <w:szCs w:val="24"/>
        </w:rPr>
        <w:t>right to privately discriminate on grounds which admittedly would be unavailable</w:t>
      </w:r>
      <w:r>
        <w:rPr>
          <w:rFonts w:ascii="Times New Roman" w:hAnsi="Times New Roman" w:cs="Times New Roman"/>
          <w:sz w:val="24"/>
          <w:szCs w:val="24"/>
        </w:rPr>
        <w:t xml:space="preserve"> under </w:t>
      </w:r>
      <w:r w:rsidRPr="000D61A1">
        <w:rPr>
          <w:rFonts w:ascii="Times New Roman" w:hAnsi="Times New Roman" w:cs="Times New Roman"/>
          <w:sz w:val="24"/>
          <w:szCs w:val="24"/>
        </w:rPr>
        <w:t>the 14th Amendment should state action be involved.”</w:t>
      </w:r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Second, the court conceded that the State was permitted a neutral position with respect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to private racial discriminations and that the State was not bo</w:t>
      </w:r>
      <w:r>
        <w:rPr>
          <w:rFonts w:ascii="Times New Roman" w:hAnsi="Times New Roman" w:cs="Times New Roman"/>
          <w:sz w:val="24"/>
          <w:szCs w:val="24"/>
        </w:rPr>
        <w:t xml:space="preserve">und by the Federal Constitution </w:t>
      </w:r>
      <w:r w:rsidRPr="000D61A1">
        <w:rPr>
          <w:rFonts w:ascii="Times New Roman" w:hAnsi="Times New Roman" w:cs="Times New Roman"/>
          <w:sz w:val="24"/>
          <w:szCs w:val="24"/>
        </w:rPr>
        <w:t>to forbid them. But, because a significant state involve</w:t>
      </w:r>
      <w:r>
        <w:rPr>
          <w:rFonts w:ascii="Times New Roman" w:hAnsi="Times New Roman" w:cs="Times New Roman"/>
          <w:sz w:val="24"/>
          <w:szCs w:val="24"/>
        </w:rPr>
        <w:t xml:space="preserve">ment in private discriminations </w:t>
      </w:r>
      <w:r w:rsidRPr="000D61A1">
        <w:rPr>
          <w:rFonts w:ascii="Times New Roman" w:hAnsi="Times New Roman" w:cs="Times New Roman"/>
          <w:sz w:val="24"/>
          <w:szCs w:val="24"/>
        </w:rPr>
        <w:t xml:space="preserve">could amount to unconstitutional state action, Burton </w:t>
      </w:r>
      <w:r>
        <w:rPr>
          <w:rFonts w:ascii="Times New Roman" w:hAnsi="Times New Roman" w:cs="Times New Roman"/>
          <w:sz w:val="24"/>
          <w:szCs w:val="24"/>
        </w:rPr>
        <w:t xml:space="preserve">v. Wilmington Parking Authority </w:t>
      </w:r>
      <w:r w:rsidRPr="000D61A1">
        <w:rPr>
          <w:rFonts w:ascii="Times New Roman" w:hAnsi="Times New Roman" w:cs="Times New Roman"/>
          <w:sz w:val="24"/>
          <w:szCs w:val="24"/>
        </w:rPr>
        <w:t>(1961), the court deemed it necessary to determine whether Pr</w:t>
      </w:r>
      <w:r>
        <w:rPr>
          <w:rFonts w:ascii="Times New Roman" w:hAnsi="Times New Roman" w:cs="Times New Roman"/>
          <w:sz w:val="24"/>
          <w:szCs w:val="24"/>
        </w:rPr>
        <w:t xml:space="preserve">oposition 14 invalidly involved </w:t>
      </w:r>
      <w:r w:rsidRPr="000D61A1">
        <w:rPr>
          <w:rFonts w:ascii="Times New Roman" w:hAnsi="Times New Roman" w:cs="Times New Roman"/>
          <w:sz w:val="24"/>
          <w:szCs w:val="24"/>
        </w:rPr>
        <w:t xml:space="preserve">the State in racial discriminations in the housing </w:t>
      </w:r>
      <w:r>
        <w:rPr>
          <w:rFonts w:ascii="Times New Roman" w:hAnsi="Times New Roman" w:cs="Times New Roman"/>
          <w:sz w:val="24"/>
          <w:szCs w:val="24"/>
        </w:rPr>
        <w:t xml:space="preserve">market. Its conclusion was that </w:t>
      </w:r>
      <w:r w:rsidRPr="000D61A1">
        <w:rPr>
          <w:rFonts w:ascii="Times New Roman" w:hAnsi="Times New Roman" w:cs="Times New Roman"/>
          <w:sz w:val="24"/>
          <w:szCs w:val="24"/>
        </w:rPr>
        <w:t>it did.</w:t>
      </w:r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To reach this result, the state court examined certain prior decisions in this Court in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which discriminatory state action was identified. Based on</w:t>
      </w:r>
      <w:r>
        <w:rPr>
          <w:rFonts w:ascii="Times New Roman" w:hAnsi="Times New Roman" w:cs="Times New Roman"/>
          <w:sz w:val="24"/>
          <w:szCs w:val="24"/>
        </w:rPr>
        <w:t xml:space="preserve"> these cases, it concluded that </w:t>
      </w:r>
      <w:r w:rsidRPr="000D61A1">
        <w:rPr>
          <w:rFonts w:ascii="Times New Roman" w:hAnsi="Times New Roman" w:cs="Times New Roman"/>
          <w:sz w:val="24"/>
          <w:szCs w:val="24"/>
        </w:rPr>
        <w:t>a prohibited state involvement could be found “even wher</w:t>
      </w:r>
      <w:r>
        <w:rPr>
          <w:rFonts w:ascii="Times New Roman" w:hAnsi="Times New Roman" w:cs="Times New Roman"/>
          <w:sz w:val="24"/>
          <w:szCs w:val="24"/>
        </w:rPr>
        <w:t xml:space="preserve">e the state can be charged with </w:t>
      </w:r>
      <w:r w:rsidRPr="000D61A1">
        <w:rPr>
          <w:rFonts w:ascii="Times New Roman" w:hAnsi="Times New Roman" w:cs="Times New Roman"/>
          <w:sz w:val="24"/>
          <w:szCs w:val="24"/>
        </w:rPr>
        <w:t>only encouraging,” rather than commanding discrimination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. .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the California court </w:t>
      </w:r>
      <w:r w:rsidRPr="000D61A1">
        <w:rPr>
          <w:rFonts w:ascii="Times New Roman" w:hAnsi="Times New Roman" w:cs="Times New Roman"/>
          <w:sz w:val="24"/>
          <w:szCs w:val="24"/>
        </w:rPr>
        <w:t>“[t]he instant case presents an undeniably analogous s</w:t>
      </w:r>
      <w:r>
        <w:rPr>
          <w:rFonts w:ascii="Times New Roman" w:hAnsi="Times New Roman" w:cs="Times New Roman"/>
          <w:sz w:val="24"/>
          <w:szCs w:val="24"/>
        </w:rPr>
        <w:t xml:space="preserve">ituation” wherein the State had </w:t>
      </w:r>
      <w:r w:rsidRPr="000D61A1">
        <w:rPr>
          <w:rFonts w:ascii="Times New Roman" w:hAnsi="Times New Roman" w:cs="Times New Roman"/>
          <w:sz w:val="24"/>
          <w:szCs w:val="24"/>
        </w:rPr>
        <w:t>taken affirmative action designed to make private discrimina</w:t>
      </w:r>
      <w:r>
        <w:rPr>
          <w:rFonts w:ascii="Times New Roman" w:hAnsi="Times New Roman" w:cs="Times New Roman"/>
          <w:sz w:val="24"/>
          <w:szCs w:val="24"/>
        </w:rPr>
        <w:t xml:space="preserve">tions legally possible. Section </w:t>
      </w:r>
      <w:r w:rsidRPr="000D61A1">
        <w:rPr>
          <w:rFonts w:ascii="Times New Roman" w:hAnsi="Times New Roman" w:cs="Times New Roman"/>
          <w:sz w:val="24"/>
          <w:szCs w:val="24"/>
        </w:rPr>
        <w:t>26 was said to have changed the situation from one in whic</w:t>
      </w:r>
      <w:r>
        <w:rPr>
          <w:rFonts w:ascii="Times New Roman" w:hAnsi="Times New Roman" w:cs="Times New Roman"/>
          <w:sz w:val="24"/>
          <w:szCs w:val="24"/>
        </w:rPr>
        <w:t xml:space="preserve">h discrimination was restricted </w:t>
      </w:r>
      <w:r w:rsidRPr="000D61A1">
        <w:rPr>
          <w:rFonts w:ascii="Times New Roman" w:hAnsi="Times New Roman" w:cs="Times New Roman"/>
          <w:sz w:val="24"/>
          <w:szCs w:val="24"/>
        </w:rPr>
        <w:t>“to one wherein it is encouraged, within the meaning o</w:t>
      </w:r>
      <w:r>
        <w:rPr>
          <w:rFonts w:ascii="Times New Roman" w:hAnsi="Times New Roman" w:cs="Times New Roman"/>
          <w:sz w:val="24"/>
          <w:szCs w:val="24"/>
        </w:rPr>
        <w:t xml:space="preserve">f the cited decisions”; §26 was </w:t>
      </w:r>
      <w:r w:rsidRPr="000D61A1">
        <w:rPr>
          <w:rFonts w:ascii="Times New Roman" w:hAnsi="Times New Roman" w:cs="Times New Roman"/>
          <w:sz w:val="24"/>
          <w:szCs w:val="24"/>
        </w:rPr>
        <w:t xml:space="preserve">legislative action “which authorized private 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discrimination”. . .</w:t>
      </w:r>
      <w:proofErr w:type="gramEnd"/>
      <w:r w:rsidRPr="000D61A1">
        <w:rPr>
          <w:rFonts w:ascii="Times New Roman" w:hAnsi="Times New Roman" w:cs="Times New Roman"/>
          <w:sz w:val="24"/>
          <w:szCs w:val="24"/>
        </w:rPr>
        <w:t xml:space="preserve"> .</w:t>
      </w:r>
      <w:r>
        <w:rPr>
          <w:rFonts w:ascii="Times New Roman" w:hAnsi="Times New Roman" w:cs="Times New Roman"/>
          <w:sz w:val="24"/>
          <w:szCs w:val="24"/>
        </w:rPr>
        <w:t xml:space="preserve"> The judgment of the California </w:t>
      </w:r>
      <w:r w:rsidRPr="000D61A1">
        <w:rPr>
          <w:rFonts w:ascii="Times New Roman" w:hAnsi="Times New Roman" w:cs="Times New Roman"/>
          <w:sz w:val="24"/>
          <w:szCs w:val="24"/>
        </w:rPr>
        <w:t xml:space="preserve">court was that §26 unconstitutionally involves the </w:t>
      </w:r>
      <w:r>
        <w:rPr>
          <w:rFonts w:ascii="Times New Roman" w:hAnsi="Times New Roman" w:cs="Times New Roman"/>
          <w:sz w:val="24"/>
          <w:szCs w:val="24"/>
        </w:rPr>
        <w:t xml:space="preserve">State in racial discriminations </w:t>
      </w:r>
      <w:r w:rsidRPr="000D61A1">
        <w:rPr>
          <w:rFonts w:ascii="Times New Roman" w:hAnsi="Times New Roman" w:cs="Times New Roman"/>
          <w:sz w:val="24"/>
          <w:szCs w:val="24"/>
        </w:rPr>
        <w:t>and is therefore invalid under the 14th Amendment.</w:t>
      </w:r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There is no sound reason for rejecting this judgment. Petitioners contend that the California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court has misconstrued the 14th Amendment since the repeal of any statute prohibiting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racial discrimination, which is constitutionally permissible, may be said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“authorize” and “encourage” discrimination because it makes legally permissible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which was formerly proscribed. But, as we understand the California court, it did not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posit a constitutional violation on the mere repeal of the Unruh and Rumford Acts. 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did not read either our cases or the 14th Amendment as establishing an automatic constitutional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barrier to the repeal of an existing law prohibiting racial discriminations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housing; nor did the court rule that a State may never put in statutory form an existing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policy of neutrality with respect to private discriminations. What the court below did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was first to reject the notion that the State was required to have a statute prohibiting racial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discriminations in housing. Second, it held the intent of § 26 was to authorize private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racial discriminations in the housing market, to repeal the Unruh and Rumford Acts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lastRenderedPageBreak/>
        <w:t>to create a constitutional right to discriminate on racial grounds in the sale and leasing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of real property. Hence, the court dealt with §26 as though it expressly authorized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constitutionalized the private right to discriminate. Third, the court assessed the ultimate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impact of §26 in the California environment and concluded that the section would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encourage and significantly involve the State in private racial discrimination contrary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the 14th Amendment.</w:t>
      </w:r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0D61A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The California court could very reasonably conclude that §26 would and did have wider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impact than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mere repeal of existing statutes. Section 26</w:t>
      </w:r>
      <w:r>
        <w:rPr>
          <w:rFonts w:ascii="Times New Roman" w:hAnsi="Times New Roman" w:cs="Times New Roman"/>
          <w:sz w:val="24"/>
          <w:szCs w:val="24"/>
        </w:rPr>
        <w:t xml:space="preserve">mentioned neither the Unruh nor </w:t>
      </w:r>
      <w:r w:rsidRPr="000D61A1">
        <w:rPr>
          <w:rFonts w:ascii="Times New Roman" w:hAnsi="Times New Roman" w:cs="Times New Roman"/>
          <w:sz w:val="24"/>
          <w:szCs w:val="24"/>
        </w:rPr>
        <w:t>Rumford Act in so many words. Instead, it announced the con</w:t>
      </w:r>
      <w:r>
        <w:rPr>
          <w:rFonts w:ascii="Times New Roman" w:hAnsi="Times New Roman" w:cs="Times New Roman"/>
          <w:sz w:val="24"/>
          <w:szCs w:val="24"/>
        </w:rPr>
        <w:t xml:space="preserve">stitutional right of any person </w:t>
      </w:r>
      <w:r w:rsidRPr="000D61A1">
        <w:rPr>
          <w:rFonts w:ascii="Times New Roman" w:hAnsi="Times New Roman" w:cs="Times New Roman"/>
          <w:sz w:val="24"/>
          <w:szCs w:val="24"/>
        </w:rPr>
        <w:t>to decline to sell or lease his real property to anyone to</w:t>
      </w:r>
      <w:r>
        <w:rPr>
          <w:rFonts w:ascii="Times New Roman" w:hAnsi="Times New Roman" w:cs="Times New Roman"/>
          <w:sz w:val="24"/>
          <w:szCs w:val="24"/>
        </w:rPr>
        <w:t xml:space="preserve"> whom he did not desire to sell </w:t>
      </w:r>
      <w:r w:rsidRPr="000D61A1">
        <w:rPr>
          <w:rFonts w:ascii="Times New Roman" w:hAnsi="Times New Roman" w:cs="Times New Roman"/>
          <w:sz w:val="24"/>
          <w:szCs w:val="24"/>
        </w:rPr>
        <w:t xml:space="preserve">or lease. Unruh and Rumford were thereby pro </w:t>
      </w:r>
      <w:proofErr w:type="spellStart"/>
      <w:r w:rsidRPr="000D61A1">
        <w:rPr>
          <w:rFonts w:ascii="Times New Roman" w:hAnsi="Times New Roman" w:cs="Times New Roman"/>
          <w:sz w:val="24"/>
          <w:szCs w:val="24"/>
        </w:rPr>
        <w:t>tanto</w:t>
      </w:r>
      <w:proofErr w:type="spellEnd"/>
      <w:r w:rsidRPr="000D61A1">
        <w:rPr>
          <w:rFonts w:ascii="Times New Roman" w:hAnsi="Times New Roman" w:cs="Times New Roman"/>
          <w:sz w:val="24"/>
          <w:szCs w:val="24"/>
        </w:rPr>
        <w:t xml:space="preserve"> repea</w:t>
      </w:r>
      <w:r>
        <w:rPr>
          <w:rFonts w:ascii="Times New Roman" w:hAnsi="Times New Roman" w:cs="Times New Roman"/>
          <w:sz w:val="24"/>
          <w:szCs w:val="24"/>
        </w:rPr>
        <w:t xml:space="preserve">led. But the section struck more </w:t>
      </w:r>
      <w:r w:rsidRPr="000D61A1">
        <w:rPr>
          <w:rFonts w:ascii="Times New Roman" w:hAnsi="Times New Roman" w:cs="Times New Roman"/>
          <w:sz w:val="24"/>
          <w:szCs w:val="24"/>
        </w:rPr>
        <w:t>deeply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more widely. Private discriminations in housing were now not only free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Rumfo</w:t>
      </w:r>
      <w:r>
        <w:rPr>
          <w:rFonts w:ascii="Times New Roman" w:hAnsi="Times New Roman" w:cs="Times New Roman"/>
          <w:sz w:val="24"/>
          <w:szCs w:val="24"/>
        </w:rPr>
        <w:t xml:space="preserve">rd </w:t>
      </w:r>
      <w:r w:rsidRPr="000D61A1">
        <w:rPr>
          <w:rFonts w:ascii="Times New Roman" w:hAnsi="Times New Roman" w:cs="Times New Roman"/>
          <w:sz w:val="24"/>
          <w:szCs w:val="24"/>
        </w:rPr>
        <w:t>and Unruh but they also enjoyed a far different status t</w:t>
      </w:r>
      <w:r>
        <w:rPr>
          <w:rFonts w:ascii="Times New Roman" w:hAnsi="Times New Roman" w:cs="Times New Roman"/>
          <w:sz w:val="24"/>
          <w:szCs w:val="24"/>
        </w:rPr>
        <w:t xml:space="preserve">han was true before the passage </w:t>
      </w:r>
      <w:r w:rsidRPr="000D61A1">
        <w:rPr>
          <w:rFonts w:ascii="Times New Roman" w:hAnsi="Times New Roman" w:cs="Times New Roman"/>
          <w:sz w:val="24"/>
          <w:szCs w:val="24"/>
        </w:rPr>
        <w:t xml:space="preserve">of those statutes. The right to discriminate, including the </w:t>
      </w:r>
      <w:r>
        <w:rPr>
          <w:rFonts w:ascii="Times New Roman" w:hAnsi="Times New Roman" w:cs="Times New Roman"/>
          <w:sz w:val="24"/>
          <w:szCs w:val="24"/>
        </w:rPr>
        <w:t xml:space="preserve">right to discriminate on racial </w:t>
      </w:r>
      <w:r w:rsidRPr="000D61A1">
        <w:rPr>
          <w:rFonts w:ascii="Times New Roman" w:hAnsi="Times New Roman" w:cs="Times New Roman"/>
          <w:sz w:val="24"/>
          <w:szCs w:val="24"/>
        </w:rPr>
        <w:t>grounds, was now embodied in the State’s basic charter, immune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legisl</w:t>
      </w:r>
      <w:r>
        <w:rPr>
          <w:rFonts w:ascii="Times New Roman" w:hAnsi="Times New Roman" w:cs="Times New Roman"/>
          <w:sz w:val="24"/>
          <w:szCs w:val="24"/>
        </w:rPr>
        <w:t xml:space="preserve">ative, executive, </w:t>
      </w:r>
      <w:r w:rsidRPr="000D61A1">
        <w:rPr>
          <w:rFonts w:ascii="Times New Roman" w:hAnsi="Times New Roman" w:cs="Times New Roman"/>
          <w:sz w:val="24"/>
          <w:szCs w:val="24"/>
        </w:rPr>
        <w:t>or judicial regulation at any level of the state government. Those pr</w:t>
      </w:r>
      <w:r>
        <w:rPr>
          <w:rFonts w:ascii="Times New Roman" w:hAnsi="Times New Roman" w:cs="Times New Roman"/>
          <w:sz w:val="24"/>
          <w:szCs w:val="24"/>
        </w:rPr>
        <w:t xml:space="preserve">acticing racial discriminations </w:t>
      </w:r>
      <w:r w:rsidRPr="000D61A1">
        <w:rPr>
          <w:rFonts w:ascii="Times New Roman" w:hAnsi="Times New Roman" w:cs="Times New Roman"/>
          <w:sz w:val="24"/>
          <w:szCs w:val="24"/>
        </w:rPr>
        <w:t>need no longer rely solely on their personal choice</w:t>
      </w:r>
      <w:r>
        <w:rPr>
          <w:rFonts w:ascii="Times New Roman" w:hAnsi="Times New Roman" w:cs="Times New Roman"/>
          <w:sz w:val="24"/>
          <w:szCs w:val="24"/>
        </w:rPr>
        <w:t xml:space="preserve">. They could now invoke express </w:t>
      </w:r>
      <w:r w:rsidRPr="000D61A1">
        <w:rPr>
          <w:rFonts w:ascii="Times New Roman" w:hAnsi="Times New Roman" w:cs="Times New Roman"/>
          <w:sz w:val="24"/>
          <w:szCs w:val="24"/>
        </w:rPr>
        <w:t>constitutional authority, free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censure or interference of</w:t>
      </w:r>
      <w:r>
        <w:rPr>
          <w:rFonts w:ascii="Times New Roman" w:hAnsi="Times New Roman" w:cs="Times New Roman"/>
          <w:sz w:val="24"/>
          <w:szCs w:val="24"/>
        </w:rPr>
        <w:t xml:space="preserve"> any kind from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official sources.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All individuals, partnerships, corporations and other legal entiti</w:t>
      </w:r>
      <w:r w:rsidR="0033257E">
        <w:rPr>
          <w:rFonts w:ascii="Times New Roman" w:hAnsi="Times New Roman" w:cs="Times New Roman"/>
          <w:sz w:val="24"/>
          <w:szCs w:val="24"/>
        </w:rPr>
        <w:t xml:space="preserve">es, as well as their agents and </w:t>
      </w:r>
      <w:r w:rsidRPr="000D61A1">
        <w:rPr>
          <w:rFonts w:ascii="Times New Roman" w:hAnsi="Times New Roman" w:cs="Times New Roman"/>
          <w:sz w:val="24"/>
          <w:szCs w:val="24"/>
        </w:rPr>
        <w:t>representatives, could now discriminate with respect to their r</w:t>
      </w:r>
      <w:r w:rsidR="0033257E">
        <w:rPr>
          <w:rFonts w:ascii="Times New Roman" w:hAnsi="Times New Roman" w:cs="Times New Roman"/>
          <w:sz w:val="24"/>
          <w:szCs w:val="24"/>
        </w:rPr>
        <w:t xml:space="preserve">esidential real property, which </w:t>
      </w:r>
      <w:r w:rsidRPr="000D61A1">
        <w:rPr>
          <w:rFonts w:ascii="Times New Roman" w:hAnsi="Times New Roman" w:cs="Times New Roman"/>
          <w:sz w:val="24"/>
          <w:szCs w:val="24"/>
        </w:rPr>
        <w:t>is defined as any interest in real property of any kind or quality</w:t>
      </w:r>
      <w:r w:rsidR="0033257E">
        <w:rPr>
          <w:rFonts w:ascii="Times New Roman" w:hAnsi="Times New Roman" w:cs="Times New Roman"/>
          <w:sz w:val="24"/>
          <w:szCs w:val="24"/>
        </w:rPr>
        <w:t xml:space="preserve">, “irrespective of how obtained </w:t>
      </w:r>
      <w:r w:rsidRPr="000D61A1">
        <w:rPr>
          <w:rFonts w:ascii="Times New Roman" w:hAnsi="Times New Roman" w:cs="Times New Roman"/>
          <w:sz w:val="24"/>
          <w:szCs w:val="24"/>
        </w:rPr>
        <w:t>or financed,” and seemingly irrespective of the relationship of</w:t>
      </w:r>
      <w:r w:rsidR="0033257E">
        <w:rPr>
          <w:rFonts w:ascii="Times New Roman" w:hAnsi="Times New Roman" w:cs="Times New Roman"/>
          <w:sz w:val="24"/>
          <w:szCs w:val="24"/>
        </w:rPr>
        <w:t xml:space="preserve"> the State to such interests in </w:t>
      </w:r>
      <w:r w:rsidRPr="000D61A1">
        <w:rPr>
          <w:rFonts w:ascii="Times New Roman" w:hAnsi="Times New Roman" w:cs="Times New Roman"/>
          <w:sz w:val="24"/>
          <w:szCs w:val="24"/>
        </w:rPr>
        <w:t>r</w:t>
      </w:r>
      <w:r w:rsidR="0033257E">
        <w:rPr>
          <w:rFonts w:ascii="Times New Roman" w:hAnsi="Times New Roman" w:cs="Times New Roman"/>
          <w:sz w:val="24"/>
          <w:szCs w:val="24"/>
        </w:rPr>
        <w:t xml:space="preserve">eal property. Only the State is </w:t>
      </w:r>
      <w:r w:rsidRPr="000D61A1">
        <w:rPr>
          <w:rFonts w:ascii="Times New Roman" w:hAnsi="Times New Roman" w:cs="Times New Roman"/>
          <w:sz w:val="24"/>
          <w:szCs w:val="24"/>
        </w:rPr>
        <w:t>excluded with respect to property owned by it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Here the California court, armed as it was with the knowledge of the facts and circumstances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concerning the passage and potential impact o</w:t>
      </w:r>
      <w:r w:rsidR="0033257E">
        <w:rPr>
          <w:rFonts w:ascii="Times New Roman" w:hAnsi="Times New Roman" w:cs="Times New Roman"/>
          <w:sz w:val="24"/>
          <w:szCs w:val="24"/>
        </w:rPr>
        <w:t>f §26, and familiar with the mi</w:t>
      </w:r>
      <w:r w:rsidRPr="000D61A1">
        <w:rPr>
          <w:rFonts w:ascii="Times New Roman" w:hAnsi="Times New Roman" w:cs="Times New Roman"/>
          <w:sz w:val="24"/>
          <w:szCs w:val="24"/>
        </w:rPr>
        <w:t>lieu in which that provision would operate, has determined that the provision would involve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the State in private racial discriminations to an unc</w:t>
      </w:r>
      <w:r w:rsidR="0033257E">
        <w:rPr>
          <w:rFonts w:ascii="Times New Roman" w:hAnsi="Times New Roman" w:cs="Times New Roman"/>
          <w:sz w:val="24"/>
          <w:szCs w:val="24"/>
        </w:rPr>
        <w:t xml:space="preserve">onstitutional degree. We accept </w:t>
      </w:r>
      <w:r w:rsidRPr="000D61A1">
        <w:rPr>
          <w:rFonts w:ascii="Times New Roman" w:hAnsi="Times New Roman" w:cs="Times New Roman"/>
          <w:sz w:val="24"/>
          <w:szCs w:val="24"/>
        </w:rPr>
        <w:t>this holding of the California court.</w:t>
      </w:r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The assessment of §26 by the California court is similar to what this Court has done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in appraising state statutes or other official actions in other contexts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None of these cases squarely controls the case we now have before us. But they do illustrate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the range of situations in which discriminatory state action has been identified.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They do exemplify the necessity for a court to assess the potential impact of official action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in determining whether the State has significantly involved itself with invidious discriminations.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Here we are dealing with a provision which does not just repeal an existing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law forbidding private racial discriminations. Section 26 was intended to authorize, and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does authorize, racial discrimination in the housing market. The right to discriminate is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now one of the basic policies of the State. The California Supreme Court believes that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the section will significantly encourage and involve the State in private discriminations.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We have been presented wi</w:t>
      </w:r>
      <w:r w:rsidR="0033257E">
        <w:rPr>
          <w:rFonts w:ascii="Times New Roman" w:hAnsi="Times New Roman" w:cs="Times New Roman"/>
          <w:sz w:val="24"/>
          <w:szCs w:val="24"/>
        </w:rPr>
        <w:t xml:space="preserve">th no persuasive considerations </w:t>
      </w:r>
      <w:r w:rsidRPr="000D61A1">
        <w:rPr>
          <w:rFonts w:ascii="Times New Roman" w:hAnsi="Times New Roman" w:cs="Times New Roman"/>
          <w:sz w:val="24"/>
          <w:szCs w:val="24"/>
        </w:rPr>
        <w:t>indicating that these judgments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should be overturned.</w:t>
      </w:r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257E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Affirmed.</w:t>
      </w:r>
    </w:p>
    <w:p w:rsidR="0033257E" w:rsidRDefault="0033257E" w:rsidP="0033257E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0D61A1" w:rsidRPr="0033257E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33257E">
        <w:rPr>
          <w:rFonts w:ascii="Times New Roman" w:hAnsi="Times New Roman" w:cs="Times New Roman"/>
          <w:b/>
          <w:sz w:val="24"/>
          <w:szCs w:val="24"/>
        </w:rPr>
        <w:lastRenderedPageBreak/>
        <w:t>Mr. Justice Douglas, concurring.</w:t>
      </w:r>
    </w:p>
    <w:p w:rsidR="0033257E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While I join the opinion of the Court, I add a word to indicate the dimensions of our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problem.</w:t>
      </w:r>
    </w:p>
    <w:p w:rsidR="0033257E" w:rsidRPr="000D61A1" w:rsidRDefault="0033257E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This is not a case as simple as the one where a man with a bicycle or a car or a stock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certificate or even a log cabin asserts the right to sell it to w</w:t>
      </w:r>
      <w:r w:rsidR="0033257E">
        <w:rPr>
          <w:rFonts w:ascii="Times New Roman" w:hAnsi="Times New Roman" w:cs="Times New Roman"/>
          <w:sz w:val="24"/>
          <w:szCs w:val="24"/>
        </w:rPr>
        <w:t xml:space="preserve">homsoever he pleases, excluding </w:t>
      </w:r>
      <w:r w:rsidRPr="000D61A1">
        <w:rPr>
          <w:rFonts w:ascii="Times New Roman" w:hAnsi="Times New Roman" w:cs="Times New Roman"/>
          <w:sz w:val="24"/>
          <w:szCs w:val="24"/>
        </w:rPr>
        <w:t>all others whether they be Negro, Chinese, Japanese,</w:t>
      </w:r>
      <w:r w:rsidR="0033257E">
        <w:rPr>
          <w:rFonts w:ascii="Times New Roman" w:hAnsi="Times New Roman" w:cs="Times New Roman"/>
          <w:sz w:val="24"/>
          <w:szCs w:val="24"/>
        </w:rPr>
        <w:t xml:space="preserve"> Russians, Catholics, Baptists, </w:t>
      </w:r>
      <w:r w:rsidRPr="000D61A1">
        <w:rPr>
          <w:rFonts w:ascii="Times New Roman" w:hAnsi="Times New Roman" w:cs="Times New Roman"/>
          <w:sz w:val="24"/>
          <w:szCs w:val="24"/>
        </w:rPr>
        <w:t xml:space="preserve">or those with blue eyes. We deal here with a problem </w:t>
      </w:r>
      <w:r w:rsidR="0033257E">
        <w:rPr>
          <w:rFonts w:ascii="Times New Roman" w:hAnsi="Times New Roman" w:cs="Times New Roman"/>
          <w:sz w:val="24"/>
          <w:szCs w:val="24"/>
        </w:rPr>
        <w:t xml:space="preserve">in the realm of zoning, similar </w:t>
      </w:r>
      <w:r w:rsidRPr="000D61A1">
        <w:rPr>
          <w:rFonts w:ascii="Times New Roman" w:hAnsi="Times New Roman" w:cs="Times New Roman"/>
          <w:sz w:val="24"/>
          <w:szCs w:val="24"/>
        </w:rPr>
        <w:t xml:space="preserve">to the one we had in </w:t>
      </w:r>
      <w:r w:rsidRPr="0033257E">
        <w:rPr>
          <w:rFonts w:ascii="Times New Roman" w:hAnsi="Times New Roman" w:cs="Times New Roman"/>
          <w:i/>
          <w:sz w:val="24"/>
          <w:szCs w:val="24"/>
        </w:rPr>
        <w:t>Shelley v. Kraemer</w:t>
      </w:r>
      <w:r w:rsidRPr="000D61A1">
        <w:rPr>
          <w:rFonts w:ascii="Times New Roman" w:hAnsi="Times New Roman" w:cs="Times New Roman"/>
          <w:sz w:val="24"/>
          <w:szCs w:val="24"/>
        </w:rPr>
        <w:t xml:space="preserve"> (1948), w</w:t>
      </w:r>
      <w:r w:rsidR="0033257E">
        <w:rPr>
          <w:rFonts w:ascii="Times New Roman" w:hAnsi="Times New Roman" w:cs="Times New Roman"/>
          <w:sz w:val="24"/>
          <w:szCs w:val="24"/>
        </w:rPr>
        <w:t xml:space="preserve">here we struck down restrictive </w:t>
      </w:r>
      <w:r w:rsidRPr="000D61A1">
        <w:rPr>
          <w:rFonts w:ascii="Times New Roman" w:hAnsi="Times New Roman" w:cs="Times New Roman"/>
          <w:sz w:val="24"/>
          <w:szCs w:val="24"/>
        </w:rPr>
        <w:t>covenants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Since the real estate brokerage business is one that can be and is state-regulated and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since it is state-licensed, it must be dedicated, like the telephone companies and the carriers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and the hotels and motels to the requirements of service to all without discrimination—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a standard that in its modern setting is conditioned by the demands of the Equal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Protection Clause of the 14th Amendment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Pr="0033257E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33257E">
        <w:rPr>
          <w:rFonts w:ascii="Times New Roman" w:hAnsi="Times New Roman" w:cs="Times New Roman"/>
          <w:b/>
          <w:sz w:val="24"/>
          <w:szCs w:val="24"/>
        </w:rPr>
        <w:t>Mr. Justice Harlan, whom</w:t>
      </w:r>
      <w:r w:rsidR="0033257E" w:rsidRPr="003325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3257E">
        <w:rPr>
          <w:rFonts w:ascii="Times New Roman" w:hAnsi="Times New Roman" w:cs="Times New Roman"/>
          <w:b/>
          <w:sz w:val="24"/>
          <w:szCs w:val="24"/>
        </w:rPr>
        <w:t xml:space="preserve">Mr. Justice Black, Mr. Justice Clark, </w:t>
      </w:r>
      <w:proofErr w:type="spellStart"/>
      <w:r w:rsidRPr="0033257E">
        <w:rPr>
          <w:rFonts w:ascii="Times New Roman" w:hAnsi="Times New Roman" w:cs="Times New Roman"/>
          <w:b/>
          <w:sz w:val="24"/>
          <w:szCs w:val="24"/>
        </w:rPr>
        <w:t>andMr</w:t>
      </w:r>
      <w:proofErr w:type="spellEnd"/>
      <w:r w:rsidRPr="0033257E">
        <w:rPr>
          <w:rFonts w:ascii="Times New Roman" w:hAnsi="Times New Roman" w:cs="Times New Roman"/>
          <w:b/>
          <w:sz w:val="24"/>
          <w:szCs w:val="24"/>
        </w:rPr>
        <w:t>. Justice Stewart</w:t>
      </w:r>
      <w:r w:rsidR="0033257E" w:rsidRPr="003325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3257E">
        <w:rPr>
          <w:rFonts w:ascii="Times New Roman" w:hAnsi="Times New Roman" w:cs="Times New Roman"/>
          <w:b/>
          <w:sz w:val="24"/>
          <w:szCs w:val="24"/>
        </w:rPr>
        <w:t>join, dissenting.</w:t>
      </w:r>
    </w:p>
    <w:p w:rsidR="0033257E" w:rsidRPr="000D61A1" w:rsidRDefault="0033257E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I consider that this decision, which cuts deeply into state political processes, is supported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neither by anything “found” by the Supreme Co</w:t>
      </w:r>
      <w:r w:rsidR="0033257E">
        <w:rPr>
          <w:rFonts w:ascii="Times New Roman" w:hAnsi="Times New Roman" w:cs="Times New Roman"/>
          <w:sz w:val="24"/>
          <w:szCs w:val="24"/>
        </w:rPr>
        <w:t xml:space="preserve">urt of California nor by any of </w:t>
      </w:r>
      <w:r w:rsidRPr="000D61A1">
        <w:rPr>
          <w:rFonts w:ascii="Times New Roman" w:hAnsi="Times New Roman" w:cs="Times New Roman"/>
          <w:sz w:val="24"/>
          <w:szCs w:val="24"/>
        </w:rPr>
        <w:t>our past cases decided under the 14th Amendment. In my</w:t>
      </w:r>
      <w:r w:rsidR="0033257E">
        <w:rPr>
          <w:rFonts w:ascii="Times New Roman" w:hAnsi="Times New Roman" w:cs="Times New Roman"/>
          <w:sz w:val="24"/>
          <w:szCs w:val="24"/>
        </w:rPr>
        <w:t xml:space="preserve"> view today’s holding, salutary </w:t>
      </w:r>
      <w:r w:rsidRPr="000D61A1">
        <w:rPr>
          <w:rFonts w:ascii="Times New Roman" w:hAnsi="Times New Roman" w:cs="Times New Roman"/>
          <w:sz w:val="24"/>
          <w:szCs w:val="24"/>
        </w:rPr>
        <w:t>as its result may appear at first blush, may in the long run actually serve to han</w:t>
      </w:r>
      <w:r w:rsidR="0033257E">
        <w:rPr>
          <w:rFonts w:ascii="Times New Roman" w:hAnsi="Times New Roman" w:cs="Times New Roman"/>
          <w:sz w:val="24"/>
          <w:szCs w:val="24"/>
        </w:rPr>
        <w:t xml:space="preserve">dicap </w:t>
      </w:r>
      <w:r w:rsidRPr="000D61A1">
        <w:rPr>
          <w:rFonts w:ascii="Times New Roman" w:hAnsi="Times New Roman" w:cs="Times New Roman"/>
          <w:sz w:val="24"/>
          <w:szCs w:val="24"/>
        </w:rPr>
        <w:t>progress in the extremely difficult field of racia</w:t>
      </w:r>
      <w:r w:rsidR="0033257E">
        <w:rPr>
          <w:rFonts w:ascii="Times New Roman" w:hAnsi="Times New Roman" w:cs="Times New Roman"/>
          <w:sz w:val="24"/>
          <w:szCs w:val="24"/>
        </w:rPr>
        <w:t xml:space="preserve">l concerns. I must respectfully </w:t>
      </w:r>
      <w:r w:rsidRPr="000D61A1">
        <w:rPr>
          <w:rFonts w:ascii="Times New Roman" w:hAnsi="Times New Roman" w:cs="Times New Roman"/>
          <w:sz w:val="24"/>
          <w:szCs w:val="24"/>
        </w:rPr>
        <w:t>dissent.</w:t>
      </w:r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The facts of this case are simple and undisputed. The legislature of the State of California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has in the last decade enacted a number of statutes restricting th</w:t>
      </w:r>
      <w:r w:rsidR="0033257E">
        <w:rPr>
          <w:rFonts w:ascii="Times New Roman" w:hAnsi="Times New Roman" w:cs="Times New Roman"/>
          <w:sz w:val="24"/>
          <w:szCs w:val="24"/>
        </w:rPr>
        <w:t xml:space="preserve">e right of private </w:t>
      </w:r>
      <w:r w:rsidRPr="000D61A1">
        <w:rPr>
          <w:rFonts w:ascii="Times New Roman" w:hAnsi="Times New Roman" w:cs="Times New Roman"/>
          <w:sz w:val="24"/>
          <w:szCs w:val="24"/>
        </w:rPr>
        <w:t>landowners to discriminate on the basis of such factors a</w:t>
      </w:r>
      <w:r w:rsidR="0033257E">
        <w:rPr>
          <w:rFonts w:ascii="Times New Roman" w:hAnsi="Times New Roman" w:cs="Times New Roman"/>
          <w:sz w:val="24"/>
          <w:szCs w:val="24"/>
        </w:rPr>
        <w:t xml:space="preserve">s race in the sale or rental of </w:t>
      </w:r>
      <w:r w:rsidRPr="000D61A1">
        <w:rPr>
          <w:rFonts w:ascii="Times New Roman" w:hAnsi="Times New Roman" w:cs="Times New Roman"/>
          <w:sz w:val="24"/>
          <w:szCs w:val="24"/>
        </w:rPr>
        <w:t>property. These laws aroused considerable opposition, cau</w:t>
      </w:r>
      <w:r w:rsidR="0033257E">
        <w:rPr>
          <w:rFonts w:ascii="Times New Roman" w:hAnsi="Times New Roman" w:cs="Times New Roman"/>
          <w:sz w:val="24"/>
          <w:szCs w:val="24"/>
        </w:rPr>
        <w:t xml:space="preserve">sing certain groups to organize </w:t>
      </w:r>
      <w:r w:rsidRPr="000D61A1">
        <w:rPr>
          <w:rFonts w:ascii="Times New Roman" w:hAnsi="Times New Roman" w:cs="Times New Roman"/>
          <w:sz w:val="24"/>
          <w:szCs w:val="24"/>
        </w:rPr>
        <w:t xml:space="preserve">themselves and to take advantage of procedures embodied in </w:t>
      </w:r>
      <w:r w:rsidR="0033257E">
        <w:rPr>
          <w:rFonts w:ascii="Times New Roman" w:hAnsi="Times New Roman" w:cs="Times New Roman"/>
          <w:sz w:val="24"/>
          <w:szCs w:val="24"/>
        </w:rPr>
        <w:t xml:space="preserve">the California Constitution </w:t>
      </w:r>
      <w:r w:rsidRPr="000D61A1">
        <w:rPr>
          <w:rFonts w:ascii="Times New Roman" w:hAnsi="Times New Roman" w:cs="Times New Roman"/>
          <w:sz w:val="24"/>
          <w:szCs w:val="24"/>
        </w:rPr>
        <w:t xml:space="preserve">permitting a “proposition” to be presented to </w:t>
      </w:r>
      <w:r w:rsidR="0033257E">
        <w:rPr>
          <w:rFonts w:ascii="Times New Roman" w:hAnsi="Times New Roman" w:cs="Times New Roman"/>
          <w:sz w:val="24"/>
          <w:szCs w:val="24"/>
        </w:rPr>
        <w:t xml:space="preserve">the voters for a constitutional </w:t>
      </w:r>
      <w:r w:rsidRPr="000D61A1">
        <w:rPr>
          <w:rFonts w:ascii="Times New Roman" w:hAnsi="Times New Roman" w:cs="Times New Roman"/>
          <w:sz w:val="24"/>
          <w:szCs w:val="24"/>
        </w:rPr>
        <w:t>amendment. “Proposition 14”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was thus put before the elec</w:t>
      </w:r>
      <w:r w:rsidR="0033257E">
        <w:rPr>
          <w:rFonts w:ascii="Times New Roman" w:hAnsi="Times New Roman" w:cs="Times New Roman"/>
          <w:sz w:val="24"/>
          <w:szCs w:val="24"/>
        </w:rPr>
        <w:t xml:space="preserve">torate in the 1964 election and </w:t>
      </w:r>
      <w:r w:rsidRPr="000D61A1">
        <w:rPr>
          <w:rFonts w:ascii="Times New Roman" w:hAnsi="Times New Roman" w:cs="Times New Roman"/>
          <w:sz w:val="24"/>
          <w:szCs w:val="24"/>
        </w:rPr>
        <w:t>was adopted by a vote of 4,526,460 to 2,395,747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257E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In the case at hand California, acting through the initiative and referendum, has decided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to remain “neutral” in the realm of private discrimination affecting the s</w:t>
      </w:r>
      <w:r w:rsidR="0033257E">
        <w:rPr>
          <w:rFonts w:ascii="Times New Roman" w:hAnsi="Times New Roman" w:cs="Times New Roman"/>
          <w:sz w:val="24"/>
          <w:szCs w:val="24"/>
        </w:rPr>
        <w:t xml:space="preserve">ale or rental </w:t>
      </w:r>
      <w:r w:rsidRPr="000D61A1">
        <w:rPr>
          <w:rFonts w:ascii="Times New Roman" w:hAnsi="Times New Roman" w:cs="Times New Roman"/>
          <w:sz w:val="24"/>
          <w:szCs w:val="24"/>
        </w:rPr>
        <w:t>of private residential property; in such transactions private owners are now free to act in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a discriminatory manner previously forbidden to them. In short, all that has happened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 xml:space="preserve">is that California has 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effected</w:t>
      </w:r>
      <w:proofErr w:type="gramEnd"/>
      <w:r w:rsidRPr="000D61A1">
        <w:rPr>
          <w:rFonts w:ascii="Times New Roman" w:hAnsi="Times New Roman" w:cs="Times New Roman"/>
          <w:sz w:val="24"/>
          <w:szCs w:val="24"/>
        </w:rPr>
        <w:t xml:space="preserve"> a pro </w:t>
      </w:r>
      <w:proofErr w:type="spellStart"/>
      <w:r w:rsidRPr="000D61A1">
        <w:rPr>
          <w:rFonts w:ascii="Times New Roman" w:hAnsi="Times New Roman" w:cs="Times New Roman"/>
          <w:sz w:val="24"/>
          <w:szCs w:val="24"/>
        </w:rPr>
        <w:t>tanto</w:t>
      </w:r>
      <w:proofErr w:type="spellEnd"/>
      <w:r w:rsidRPr="000D61A1">
        <w:rPr>
          <w:rFonts w:ascii="Times New Roman" w:hAnsi="Times New Roman" w:cs="Times New Roman"/>
          <w:sz w:val="24"/>
          <w:szCs w:val="24"/>
        </w:rPr>
        <w:t xml:space="preserve"> repeal of its prior statutes forbidding private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discrimination. This runs no more afoul of the 14th Amendment than would have California’s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failure to pass any such antidiscrimination statutes in the first instance. The fact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that such repeal was also accompanied by a constitutional prohibition against future enactment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of such laws by the California Legislature cannot well be thought to affect, from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a federal constitutional standpoint, the validity of what California has done. The 14</w:t>
      </w:r>
      <w:r w:rsidRPr="0033257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Amendment does not reach such state constitutional action any more than it does a simple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 xml:space="preserve">legislative repeal of legislation forbidding private </w:t>
      </w:r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discrimination</w:t>
      </w:r>
      <w:proofErr w:type="gramStart"/>
      <w:r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D61A1" w:rsidRP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lastRenderedPageBreak/>
        <w:t>I. The Court attempts to fit §26 within the coverage of the Equal Protection Clause by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characterizing it as in effect an affirmative call to residents</w:t>
      </w:r>
      <w:r w:rsidR="0033257E">
        <w:rPr>
          <w:rFonts w:ascii="Times New Roman" w:hAnsi="Times New Roman" w:cs="Times New Roman"/>
          <w:sz w:val="24"/>
          <w:szCs w:val="24"/>
        </w:rPr>
        <w:t xml:space="preserve"> of California to discriminate. </w:t>
      </w:r>
      <w:r w:rsidRPr="000D61A1">
        <w:rPr>
          <w:rFonts w:ascii="Times New Roman" w:hAnsi="Times New Roman" w:cs="Times New Roman"/>
          <w:sz w:val="24"/>
          <w:szCs w:val="24"/>
        </w:rPr>
        <w:t>The main difficulty with this viewpoint is that it depends</w:t>
      </w:r>
      <w:r w:rsidR="0033257E">
        <w:rPr>
          <w:rFonts w:ascii="Times New Roman" w:hAnsi="Times New Roman" w:cs="Times New Roman"/>
          <w:sz w:val="24"/>
          <w:szCs w:val="24"/>
        </w:rPr>
        <w:t xml:space="preserve"> upon a characterization of §26 </w:t>
      </w:r>
      <w:r w:rsidRPr="000D61A1">
        <w:rPr>
          <w:rFonts w:ascii="Times New Roman" w:hAnsi="Times New Roman" w:cs="Times New Roman"/>
          <w:sz w:val="24"/>
          <w:szCs w:val="24"/>
        </w:rPr>
        <w:t>that cannot fairly be made. The provision is neutral on its fa</w:t>
      </w:r>
      <w:r w:rsidR="0033257E">
        <w:rPr>
          <w:rFonts w:ascii="Times New Roman" w:hAnsi="Times New Roman" w:cs="Times New Roman"/>
          <w:sz w:val="24"/>
          <w:szCs w:val="24"/>
        </w:rPr>
        <w:t xml:space="preserve">ce, and it is only by in effect </w:t>
      </w:r>
      <w:r w:rsidRPr="000D61A1">
        <w:rPr>
          <w:rFonts w:ascii="Times New Roman" w:hAnsi="Times New Roman" w:cs="Times New Roman"/>
          <w:sz w:val="24"/>
          <w:szCs w:val="24"/>
        </w:rPr>
        <w:t>asserting that this requirement of passive official neutrali</w:t>
      </w:r>
      <w:r w:rsidR="0033257E">
        <w:rPr>
          <w:rFonts w:ascii="Times New Roman" w:hAnsi="Times New Roman" w:cs="Times New Roman"/>
          <w:sz w:val="24"/>
          <w:szCs w:val="24"/>
        </w:rPr>
        <w:t xml:space="preserve">ty is camouflage that the Court </w:t>
      </w:r>
      <w:r w:rsidRPr="000D61A1">
        <w:rPr>
          <w:rFonts w:ascii="Times New Roman" w:hAnsi="Times New Roman" w:cs="Times New Roman"/>
          <w:sz w:val="24"/>
          <w:szCs w:val="24"/>
        </w:rPr>
        <w:t>is able to reach its conclusion. In depicting the provisio</w:t>
      </w:r>
      <w:r w:rsidR="0033257E">
        <w:rPr>
          <w:rFonts w:ascii="Times New Roman" w:hAnsi="Times New Roman" w:cs="Times New Roman"/>
          <w:sz w:val="24"/>
          <w:szCs w:val="24"/>
        </w:rPr>
        <w:t xml:space="preserve">n as tantamount to active state encouragement of </w:t>
      </w:r>
      <w:r w:rsidRPr="000D61A1">
        <w:rPr>
          <w:rFonts w:ascii="Times New Roman" w:hAnsi="Times New Roman" w:cs="Times New Roman"/>
          <w:sz w:val="24"/>
          <w:szCs w:val="24"/>
        </w:rPr>
        <w:t xml:space="preserve">discrimination the Court essentially relies </w:t>
      </w:r>
      <w:r w:rsidR="0033257E">
        <w:rPr>
          <w:rFonts w:ascii="Times New Roman" w:hAnsi="Times New Roman" w:cs="Times New Roman"/>
          <w:sz w:val="24"/>
          <w:szCs w:val="24"/>
        </w:rPr>
        <w:t xml:space="preserve">on the fact that the California </w:t>
      </w:r>
      <w:r w:rsidRPr="000D61A1">
        <w:rPr>
          <w:rFonts w:ascii="Times New Roman" w:hAnsi="Times New Roman" w:cs="Times New Roman"/>
          <w:sz w:val="24"/>
          <w:szCs w:val="24"/>
        </w:rPr>
        <w:t>Supreme Court so concluded. It is said that the f</w:t>
      </w:r>
      <w:r w:rsidR="0033257E">
        <w:rPr>
          <w:rFonts w:ascii="Times New Roman" w:hAnsi="Times New Roman" w:cs="Times New Roman"/>
          <w:sz w:val="24"/>
          <w:szCs w:val="24"/>
        </w:rPr>
        <w:t xml:space="preserve">indings of the highest court of </w:t>
      </w:r>
      <w:r w:rsidRPr="000D61A1">
        <w:rPr>
          <w:rFonts w:ascii="Times New Roman" w:hAnsi="Times New Roman" w:cs="Times New Roman"/>
          <w:sz w:val="24"/>
          <w:szCs w:val="24"/>
        </w:rPr>
        <w:t xml:space="preserve">California as to the meaning and impact of the enactment </w:t>
      </w:r>
      <w:r w:rsidR="0033257E">
        <w:rPr>
          <w:rFonts w:ascii="Times New Roman" w:hAnsi="Times New Roman" w:cs="Times New Roman"/>
          <w:sz w:val="24"/>
          <w:szCs w:val="24"/>
        </w:rPr>
        <w:t xml:space="preserve">are entitled to great weight. I </w:t>
      </w:r>
      <w:r w:rsidRPr="000D61A1">
        <w:rPr>
          <w:rFonts w:ascii="Times New Roman" w:hAnsi="Times New Roman" w:cs="Times New Roman"/>
          <w:sz w:val="24"/>
          <w:szCs w:val="24"/>
        </w:rPr>
        <w:t>agree, of course, that findings of fact by a state court sh</w:t>
      </w:r>
      <w:r w:rsidR="0033257E">
        <w:rPr>
          <w:rFonts w:ascii="Times New Roman" w:hAnsi="Times New Roman" w:cs="Times New Roman"/>
          <w:sz w:val="24"/>
          <w:szCs w:val="24"/>
        </w:rPr>
        <w:t xml:space="preserve">ould be given great weight, but </w:t>
      </w:r>
      <w:r w:rsidRPr="000D61A1">
        <w:rPr>
          <w:rFonts w:ascii="Times New Roman" w:hAnsi="Times New Roman" w:cs="Times New Roman"/>
          <w:sz w:val="24"/>
          <w:szCs w:val="24"/>
        </w:rPr>
        <w:t>this familiar proposition hardly aids the Court’s holding in this case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Put in another way, I cannot transform the California court’s conclusion of law into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a finding of fact that the State through the adoption of §</w:t>
      </w:r>
      <w:r w:rsidR="0033257E">
        <w:rPr>
          <w:rFonts w:ascii="Times New Roman" w:hAnsi="Times New Roman" w:cs="Times New Roman"/>
          <w:sz w:val="24"/>
          <w:szCs w:val="24"/>
        </w:rPr>
        <w:t xml:space="preserve">26 is actively promoting racial </w:t>
      </w:r>
      <w:r w:rsidRPr="000D61A1">
        <w:rPr>
          <w:rFonts w:ascii="Times New Roman" w:hAnsi="Times New Roman" w:cs="Times New Roman"/>
          <w:sz w:val="24"/>
          <w:szCs w:val="24"/>
        </w:rPr>
        <w:t>discrimination. It seems to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me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manifest that the state court decision rested entirely on what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that court conceived to be the compulsion of the 14th Amendment, not on any fact-finding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by the state courts.</w:t>
      </w:r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II. There is no question that the adoption of §26, repealing the former state anti-discrimination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laws and prohibiting the enactment of such state laws in the future, constituted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“state action”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 xml:space="preserve">within the meaning of the 14th Amendment. The only issue </w:t>
      </w:r>
      <w:r w:rsidR="0033257E">
        <w:rPr>
          <w:rFonts w:ascii="Times New Roman" w:hAnsi="Times New Roman" w:cs="Times New Roman"/>
          <w:sz w:val="24"/>
          <w:szCs w:val="24"/>
        </w:rPr>
        <w:t xml:space="preserve">is whether </w:t>
      </w:r>
      <w:r w:rsidRPr="000D61A1">
        <w:rPr>
          <w:rFonts w:ascii="Times New Roman" w:hAnsi="Times New Roman" w:cs="Times New Roman"/>
          <w:sz w:val="24"/>
          <w:szCs w:val="24"/>
        </w:rPr>
        <w:t>this provision impermissibly deprives any person of equal protection of the laws</w:t>
      </w:r>
      <w:proofErr w:type="gramStart"/>
      <w:r w:rsidRPr="000D61A1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P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A moment of thought will reveal the far-reaching possibilities of the Court’s new doctrine,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which I am sure the Court does not intend. Every act of private discrimination is</w:t>
      </w:r>
    </w:p>
    <w:p w:rsidR="000D61A1" w:rsidRP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 xml:space="preserve">either forbidden by state law or permitted by it. There can be little </w:t>
      </w:r>
      <w:r w:rsidR="0033257E">
        <w:rPr>
          <w:rFonts w:ascii="Times New Roman" w:hAnsi="Times New Roman" w:cs="Times New Roman"/>
          <w:sz w:val="24"/>
          <w:szCs w:val="24"/>
        </w:rPr>
        <w:t xml:space="preserve">doubt that such permissiveness— </w:t>
      </w:r>
      <w:r w:rsidRPr="000D61A1">
        <w:rPr>
          <w:rFonts w:ascii="Times New Roman" w:hAnsi="Times New Roman" w:cs="Times New Roman"/>
          <w:sz w:val="24"/>
          <w:szCs w:val="24"/>
        </w:rPr>
        <w:t>whether by express constitutional or statutory provision, or implicit in the</w:t>
      </w:r>
    </w:p>
    <w:p w:rsidR="000D61A1" w:rsidRDefault="000D61A1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common law—to some extent “encourages” those who</w:t>
      </w:r>
      <w:r w:rsidR="0033257E">
        <w:rPr>
          <w:rFonts w:ascii="Times New Roman" w:hAnsi="Times New Roman" w:cs="Times New Roman"/>
          <w:sz w:val="24"/>
          <w:szCs w:val="24"/>
        </w:rPr>
        <w:t xml:space="preserve"> wish to discriminate to do so. </w:t>
      </w:r>
      <w:r w:rsidRPr="000D61A1">
        <w:rPr>
          <w:rFonts w:ascii="Times New Roman" w:hAnsi="Times New Roman" w:cs="Times New Roman"/>
          <w:sz w:val="24"/>
          <w:szCs w:val="24"/>
        </w:rPr>
        <w:t>Under this theory “state action” in the form of laws that</w:t>
      </w:r>
      <w:r w:rsidR="0033257E">
        <w:rPr>
          <w:rFonts w:ascii="Times New Roman" w:hAnsi="Times New Roman" w:cs="Times New Roman"/>
          <w:sz w:val="24"/>
          <w:szCs w:val="24"/>
        </w:rPr>
        <w:t xml:space="preserve"> do nothing more than passively </w:t>
      </w:r>
      <w:r w:rsidRPr="000D61A1">
        <w:rPr>
          <w:rFonts w:ascii="Times New Roman" w:hAnsi="Times New Roman" w:cs="Times New Roman"/>
          <w:sz w:val="24"/>
          <w:szCs w:val="24"/>
        </w:rPr>
        <w:t>permit private discrimination could be said to tinge all private discrimination wi</w:t>
      </w:r>
      <w:r w:rsidR="0033257E">
        <w:rPr>
          <w:rFonts w:ascii="Times New Roman" w:hAnsi="Times New Roman" w:cs="Times New Roman"/>
          <w:sz w:val="24"/>
          <w:szCs w:val="24"/>
        </w:rPr>
        <w:t xml:space="preserve">th the taint </w:t>
      </w:r>
      <w:r w:rsidRPr="000D61A1">
        <w:rPr>
          <w:rFonts w:ascii="Times New Roman" w:hAnsi="Times New Roman" w:cs="Times New Roman"/>
          <w:sz w:val="24"/>
          <w:szCs w:val="24"/>
        </w:rPr>
        <w:t>of unconstitutional state encouragement.</w:t>
      </w:r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33257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This type of alleged state involvement, simply evincing a refusal to involve itself at all, is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of course very different from that illustrated in such cases . . . where the Court found active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involvement of state agencies and officials in specific acts of discrimination. It is also quite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different from cases in which a state enactment could be said to have the obvious purpose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of fostering discrimination. I believe the state action required to bring the 14th Amendment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into operation must be affirmative and purposeful, actively fostering discrimination. Only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in such a case is ostensibly “private” action more properly labeled “official.” I do not believe</w:t>
      </w:r>
      <w:r w:rsidR="0033257E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that the mere enactment of §26, on the showing made here, falls within this class of cases.</w:t>
      </w:r>
    </w:p>
    <w:p w:rsidR="0033257E" w:rsidRPr="000D61A1" w:rsidRDefault="0033257E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61A1" w:rsidRDefault="000D61A1" w:rsidP="007E34A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III. I think that this decision is not only constitutionally unsound, but in its practical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potentialities short-sighted. Opponents of state antidiscr</w:t>
      </w:r>
      <w:r w:rsidR="007E34AD">
        <w:rPr>
          <w:rFonts w:ascii="Times New Roman" w:hAnsi="Times New Roman" w:cs="Times New Roman"/>
          <w:sz w:val="24"/>
          <w:szCs w:val="24"/>
        </w:rPr>
        <w:t xml:space="preserve">imination statutes are now in a position </w:t>
      </w:r>
      <w:r w:rsidRPr="000D61A1">
        <w:rPr>
          <w:rFonts w:ascii="Times New Roman" w:hAnsi="Times New Roman" w:cs="Times New Roman"/>
          <w:sz w:val="24"/>
          <w:szCs w:val="24"/>
        </w:rPr>
        <w:t>to argue that such legislation should be defeated</w:t>
      </w:r>
      <w:r w:rsidR="007E34AD">
        <w:rPr>
          <w:rFonts w:ascii="Times New Roman" w:hAnsi="Times New Roman" w:cs="Times New Roman"/>
          <w:sz w:val="24"/>
          <w:szCs w:val="24"/>
        </w:rPr>
        <w:t xml:space="preserve"> because, if enacted, it may be </w:t>
      </w:r>
      <w:proofErr w:type="spellStart"/>
      <w:r w:rsidR="007E34AD">
        <w:rPr>
          <w:rFonts w:ascii="Times New Roman" w:hAnsi="Times New Roman" w:cs="Times New Roman"/>
          <w:sz w:val="24"/>
          <w:szCs w:val="24"/>
        </w:rPr>
        <w:t>unrepealable</w:t>
      </w:r>
      <w:proofErr w:type="spellEnd"/>
      <w:r w:rsidR="007E34AD">
        <w:rPr>
          <w:rFonts w:ascii="Times New Roman" w:hAnsi="Times New Roman" w:cs="Times New Roman"/>
          <w:sz w:val="24"/>
          <w:szCs w:val="24"/>
        </w:rPr>
        <w:t xml:space="preserve">. </w:t>
      </w:r>
      <w:r w:rsidRPr="000D61A1">
        <w:rPr>
          <w:rFonts w:ascii="Times New Roman" w:hAnsi="Times New Roman" w:cs="Times New Roman"/>
          <w:sz w:val="24"/>
          <w:szCs w:val="24"/>
        </w:rPr>
        <w:t>More fundamentally, the doctrine under</w:t>
      </w:r>
      <w:r w:rsidR="007E34AD">
        <w:rPr>
          <w:rFonts w:ascii="Times New Roman" w:hAnsi="Times New Roman" w:cs="Times New Roman"/>
          <w:sz w:val="24"/>
          <w:szCs w:val="24"/>
        </w:rPr>
        <w:t xml:space="preserve">lying this decision may hamper, </w:t>
      </w:r>
      <w:r w:rsidRPr="000D61A1">
        <w:rPr>
          <w:rFonts w:ascii="Times New Roman" w:hAnsi="Times New Roman" w:cs="Times New Roman"/>
          <w:sz w:val="24"/>
          <w:szCs w:val="24"/>
        </w:rPr>
        <w:t>if not preclude, attempts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to deal with the delicate and troublesome problems of race relations</w:t>
      </w:r>
      <w:r w:rsidR="007E34AD">
        <w:rPr>
          <w:rFonts w:ascii="Times New Roman" w:hAnsi="Times New Roman" w:cs="Times New Roman"/>
          <w:sz w:val="24"/>
          <w:szCs w:val="24"/>
        </w:rPr>
        <w:t xml:space="preserve"> through the legislative </w:t>
      </w:r>
      <w:r w:rsidRPr="000D61A1">
        <w:rPr>
          <w:rFonts w:ascii="Times New Roman" w:hAnsi="Times New Roman" w:cs="Times New Roman"/>
          <w:sz w:val="24"/>
          <w:szCs w:val="24"/>
        </w:rPr>
        <w:lastRenderedPageBreak/>
        <w:t>process. The lines that have been and must be drawn in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this area, fraught as it is with human sensibilities and frailties of whatever race or creed,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are difficult ones. The drawing of them requires understanding, patience, and compromise,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and is best done by legislatures rather than by courts. When legislation in this field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is unsuccessful there should be wide opportunities for legislative amendment, as well as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for change through such processes as the popular initiative and referendum. This decision,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I fear, may inhibit such flexibility. Here the electorate itself overwhelmingly wished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to overrule and check its own legislature on a matter left open by the Federal Constitution.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By refusing to accept the decision of the people of California, and by contriving a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new and ill-defined constitutional concept to allow federal judicial interference, I think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r w:rsidRPr="000D61A1">
        <w:rPr>
          <w:rFonts w:ascii="Times New Roman" w:hAnsi="Times New Roman" w:cs="Times New Roman"/>
          <w:sz w:val="24"/>
          <w:szCs w:val="24"/>
        </w:rPr>
        <w:t>the Court has taken to itself powers and responsibilities left elsewhere by the Constitution.</w:t>
      </w:r>
    </w:p>
    <w:p w:rsidR="007E34AD" w:rsidRPr="000D61A1" w:rsidRDefault="007E34AD" w:rsidP="000D61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4CFF" w:rsidRPr="000D61A1" w:rsidRDefault="000D61A1" w:rsidP="007E34A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1A1">
        <w:rPr>
          <w:rFonts w:ascii="Times New Roman" w:hAnsi="Times New Roman" w:cs="Times New Roman"/>
          <w:sz w:val="24"/>
          <w:szCs w:val="24"/>
        </w:rPr>
        <w:t>I believe the Supreme Court of California misapplied the 14th Amendment, and would</w:t>
      </w:r>
      <w:r w:rsidR="007E34AD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0D61A1">
        <w:rPr>
          <w:rFonts w:ascii="Times New Roman" w:hAnsi="Times New Roman" w:cs="Times New Roman"/>
          <w:sz w:val="24"/>
          <w:szCs w:val="24"/>
        </w:rPr>
        <w:t>reverse its judgments, and remand the case for further appropriate proceedings.</w:t>
      </w:r>
    </w:p>
    <w:sectPr w:rsidR="00D54CFF" w:rsidRPr="000D6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1A1"/>
    <w:rsid w:val="000D61A1"/>
    <w:rsid w:val="0033257E"/>
    <w:rsid w:val="007E34AD"/>
    <w:rsid w:val="00D54CFF"/>
    <w:rsid w:val="00F1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4573F"/>
  <w15:chartTrackingRefBased/>
  <w15:docId w15:val="{01EA8084-69C6-4E4A-9FE0-93651AAF8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2701</Words>
  <Characters>15402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2018-08-01T21:46:00Z</dcterms:created>
  <dcterms:modified xsi:type="dcterms:W3CDTF">2018-08-01T22:13:00Z</dcterms:modified>
</cp:coreProperties>
</file>