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3912">
        <w:rPr>
          <w:rFonts w:ascii="Times New Roman" w:hAnsi="Times New Roman" w:cs="Times New Roman"/>
          <w:b/>
          <w:bCs/>
          <w:sz w:val="24"/>
          <w:szCs w:val="24"/>
        </w:rPr>
        <w:t>Printz v. United States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EB3912">
        <w:rPr>
          <w:rFonts w:ascii="Times New Roman" w:hAnsi="Times New Roman" w:cs="Times New Roman"/>
          <w:b/>
          <w:bCs/>
          <w:sz w:val="21"/>
          <w:szCs w:val="21"/>
        </w:rPr>
        <w:t>521 U.S. 898 (1997)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[Majority: Scalia, Rehnquist (C.J.), O’Connor, Kennedy, and Thomas. Concurring: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O’Connor and Thomas. Dissenting: Stevens, Souter, Ginsburg and Breyer.]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EB3912">
        <w:rPr>
          <w:rFonts w:ascii="Times New Roman" w:hAnsi="Times New Roman" w:cs="Times New Roman"/>
          <w:b/>
          <w:bCs/>
          <w:sz w:val="21"/>
          <w:szCs w:val="21"/>
        </w:rPr>
        <w:t>Justice Scalia delivered the opinion of the Court.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question presented in these cases is whether certain interim provisions of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Brady Handgun Violence Prevention Act . . . commanding state and local law enforcement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officers to conduct background checks on prospective handgun purchasers and to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perform certain related tasks, violate the Constitution.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[I. The Gun Control Act of 1968 (GCA) established a detailed federal scheme governing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distribution of firearms. In 1993, Congress amended the GCA by enacting the Brady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Act, which required mandatory background checks of gun-buyers and the issuance of a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permit before delivery of the 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weapon.While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the Act called for the creation of a federal bureaucracy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conduct the checks, it required state law enforcement officers to conduct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checks during the interim period. Petitioners Jay Printz and Richard Mack were two state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officers who challenged the statute, saying that forcing them to do the checks at the demand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federal government violated constitutional principles of state sovereignty.]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II. [T]he Brady Act purports to direct state law enforcement officers to participate, albeit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only temporarily, in the administration of a federally enacted regulatory scheme.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petitioners here object to being pressed into federal service, and contend that congressional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action compelling state officers to execute federal laws is unconstitutional. Because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there is no constitutional text speaking to this precise question, the answer to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CLEOs’ challenge must be sought in historical understanding and practice, in the structure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Constitution, and in the jurisprudence of this Court. We treat those three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sources, in that order, in this and the next two sections of this opinion.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B3912">
        <w:rPr>
          <w:rFonts w:ascii="Times New Roman" w:hAnsi="Times New Roman" w:cs="Times New Roman"/>
          <w:sz w:val="16"/>
          <w:szCs w:val="16"/>
        </w:rPr>
        <w:t xml:space="preserve">03 </w:t>
      </w:r>
      <w:proofErr w:type="spellStart"/>
      <w:r w:rsidRPr="00EB3912">
        <w:rPr>
          <w:rFonts w:ascii="Times New Roman" w:hAnsi="Times New Roman" w:cs="Times New Roman"/>
          <w:sz w:val="16"/>
          <w:szCs w:val="16"/>
        </w:rPr>
        <w:t>curtis</w:t>
      </w:r>
      <w:proofErr w:type="spellEnd"/>
      <w:r w:rsidRPr="00EB3912">
        <w:rPr>
          <w:rFonts w:ascii="Times New Roman" w:hAnsi="Times New Roman" w:cs="Times New Roman"/>
          <w:sz w:val="16"/>
          <w:szCs w:val="16"/>
        </w:rPr>
        <w:t xml:space="preserve"> 3e v1 cx2 11/10/10 10:10 AM Page 273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274 3 · LIMITS ON FEDERAL POWER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Petitioners contend that compelled enlistment of state executive officers for the administration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federal programs is, until very recent years at least, unprecedented.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Government contends, to the contrary, that “the earliest Congresses enacted statutes that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required the participation of state officials in the implementation of federal laws,”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Brief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for United States </w:t>
      </w:r>
      <w:r w:rsidRPr="00EB3912">
        <w:rPr>
          <w:rFonts w:ascii="Times New Roman" w:hAnsi="Times New Roman" w:cs="Times New Roman"/>
          <w:sz w:val="21"/>
          <w:szCs w:val="21"/>
        </w:rPr>
        <w:t>28. . . .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Government observes that statutes enacted by the first Congresses required state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courts to record applications for citizenship, to transmit abstracts of citizenship applications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other naturalization records to the Secretary of State, and to register aliens seeking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naturalization and issue certificates of registry. It may well be, however, that these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requirements applied only in States that authorized their courts to conduct naturalization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proceedings.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These early laws establish, at most, that the Constitution was originally understood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permit imposition of an obligation on state judges to enforce federal prescriptions, insofar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as those prescriptions related to matters appropriate for the judicial power. That assumption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was perhaps implicit in one of the provisions of the Constitution, and was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explicit in another. In accord with the so-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calledMadisonian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Compromise, Article III, §1,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established only a Supreme Court, and made the creation of lower federal courts optional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with the Congress—even though it was obvious that the Supreme Court alone could not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hear all federal cases throughout the United States. And the Supremacy Clause, Art. VI,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cl. 2, announced that “the Laws of the United States . . . shall be the supreme Law of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Land; and the Judges in every State shall be bound thereby.” It is understandable why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courts should have been viewed distinctively in this regard; unlike legislatures and executives,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they applied the law of other sovereigns all the time.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complete the historical record, we must note that there is not only an absence of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executive-commandeering statutes in the early Congresses, but there is an absence of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them in our later history as well, at least until very recent years. The Government points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lastRenderedPageBreak/>
        <w:t xml:space="preserve">to the Act of August 3, 1882, 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ch.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376, which enlisted state officials “to take charge of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local affairs of immigration in the ports within such State, and to provide for the support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relief of such immigrants therein landing as may fall into distress or need of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public aid”; to inspect arriving immigrants and exclude any person found to be a “convict,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lunatic, idiot,” or indigent; and to send convicts back to their country of origin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“without compensation.” The statute did not, however,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mandate </w:t>
      </w:r>
      <w:r w:rsidRPr="00EB3912">
        <w:rPr>
          <w:rFonts w:ascii="Times New Roman" w:hAnsi="Times New Roman" w:cs="Times New Roman"/>
          <w:sz w:val="21"/>
          <w:szCs w:val="21"/>
        </w:rPr>
        <w:t>those duties, but merely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empowered the Secretary of the Treasury “to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enter into contracts </w:t>
      </w:r>
      <w:r w:rsidRPr="00EB3912">
        <w:rPr>
          <w:rFonts w:ascii="Times New Roman" w:hAnsi="Times New Roman" w:cs="Times New Roman"/>
          <w:sz w:val="21"/>
          <w:szCs w:val="21"/>
        </w:rPr>
        <w:t>with such State . . . officers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as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may be designated </w:t>
      </w:r>
      <w:r w:rsidRPr="00EB3912">
        <w:rPr>
          <w:rFonts w:ascii="Times New Roman" w:hAnsi="Times New Roman" w:cs="Times New Roman"/>
          <w:sz w:val="21"/>
          <w:szCs w:val="21"/>
        </w:rPr>
        <w:t xml:space="preserve">for that purpose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by the governor </w:t>
      </w:r>
      <w:r w:rsidRPr="00EB3912">
        <w:rPr>
          <w:rFonts w:ascii="Times New Roman" w:hAnsi="Times New Roman" w:cs="Times New Roman"/>
          <w:sz w:val="21"/>
          <w:szCs w:val="21"/>
        </w:rPr>
        <w:t>of any State” (emphasis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added).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Government cites the World War I selective draft law that authorized the President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“to utilize the service of any or all departments and any or all officers or agents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of the United States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and of the several States</w:t>
      </w:r>
      <w:r w:rsidRPr="00EB3912">
        <w:rPr>
          <w:rFonts w:ascii="Times New Roman" w:hAnsi="Times New Roman" w:cs="Times New Roman"/>
          <w:sz w:val="21"/>
          <w:szCs w:val="21"/>
        </w:rPr>
        <w:t>, Territories, and the District of Columbia,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subdivisions thereof, in the execution of this Act,” and made any person who refused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comply with the President’s directions guilty of a misdemeanor (emphasis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added). Act of May 18, 1917. However, it is far from clear that the authorization “to utilize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the service” of state officers was an authorization to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compel </w:t>
      </w:r>
      <w:r w:rsidRPr="00EB3912">
        <w:rPr>
          <w:rFonts w:ascii="Times New Roman" w:hAnsi="Times New Roman" w:cs="Times New Roman"/>
          <w:sz w:val="21"/>
          <w:szCs w:val="21"/>
        </w:rPr>
        <w:t>the service of state officers;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the misdemeanor provision surely applied only to refusal to comply with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the President’s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authorized </w:t>
      </w:r>
      <w:r w:rsidRPr="00EB3912">
        <w:rPr>
          <w:rFonts w:ascii="Times New Roman" w:hAnsi="Times New Roman" w:cs="Times New Roman"/>
          <w:sz w:val="21"/>
          <w:szCs w:val="21"/>
        </w:rPr>
        <w:t>directions, which might not have included directions to officers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States whose governors had not volunteered their services. It is interesting that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 implementing the Act President Wilson did not commandeer the services of state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officers, but instead requested the assistance of the States’ governors. . . . It is impressive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that even with respect to a wartime measure the President should have been so solicitous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state independence.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B3912">
        <w:rPr>
          <w:rFonts w:ascii="Times New Roman" w:hAnsi="Times New Roman" w:cs="Times New Roman"/>
          <w:sz w:val="16"/>
          <w:szCs w:val="16"/>
        </w:rPr>
        <w:t xml:space="preserve">03 </w:t>
      </w:r>
      <w:proofErr w:type="spellStart"/>
      <w:r w:rsidRPr="00EB3912">
        <w:rPr>
          <w:rFonts w:ascii="Times New Roman" w:hAnsi="Times New Roman" w:cs="Times New Roman"/>
          <w:sz w:val="16"/>
          <w:szCs w:val="16"/>
        </w:rPr>
        <w:t>curtis</w:t>
      </w:r>
      <w:proofErr w:type="spellEnd"/>
      <w:r w:rsidRPr="00EB3912">
        <w:rPr>
          <w:rFonts w:ascii="Times New Roman" w:hAnsi="Times New Roman" w:cs="Times New Roman"/>
          <w:sz w:val="16"/>
          <w:szCs w:val="16"/>
        </w:rPr>
        <w:t xml:space="preserve"> 3e v1 cx2 11/10/10 10:10 AM Page 274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3 · LIMITS ON FEDERAL POWER 275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Government points to a number of federal statutes enacted within the past few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decades that require the participation of state or local officials in implementing federal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regulatory schemes. Some of these are connected to federal funding measures, and can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perhaps be more accurately described as conditions upon the grant of federal funding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than as mandates to the States; others, which require only the provision of information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the Federal Government, do not involve the precise issue before us here, which is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forced participation of the States’ executive in the actual administration of a federal program.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III. The constitutional practice we have examined above tends to negate the existence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congressional power asserted here, but is not conclusive. We turn next to consideration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structure of the Constitution, to see if we can discern among its “essential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postulate[s],” a principle that controls the present cases.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III-A. It is incontestable that the Constitution established a system of “dual sovereignty.”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Gregory v. Ashcroft </w:t>
      </w:r>
      <w:r w:rsidRPr="00EB3912">
        <w:rPr>
          <w:rFonts w:ascii="Times New Roman" w:hAnsi="Times New Roman" w:cs="Times New Roman"/>
          <w:sz w:val="21"/>
          <w:szCs w:val="21"/>
        </w:rPr>
        <w:t>(1991). Although the States surrendered many of their powers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the new Federal Government, they retained “a residuary a</w:t>
      </w:r>
      <w:bookmarkStart w:id="0" w:name="_GoBack"/>
      <w:bookmarkEnd w:id="0"/>
      <w:r w:rsidRPr="00EB3912">
        <w:rPr>
          <w:rFonts w:ascii="Times New Roman" w:hAnsi="Times New Roman" w:cs="Times New Roman"/>
          <w:sz w:val="21"/>
          <w:szCs w:val="21"/>
        </w:rPr>
        <w:t>nd inviolable sovereignty,”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The Federalist </w:t>
      </w:r>
      <w:r w:rsidRPr="00EB3912">
        <w:rPr>
          <w:rFonts w:ascii="Times New Roman" w:hAnsi="Times New Roman" w:cs="Times New Roman"/>
          <w:sz w:val="21"/>
          <w:szCs w:val="21"/>
        </w:rPr>
        <w:t>No. 39 (J. Madison). This is reflected throughout the Constitution’s text,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including (to mention only a few examples) the prohibition on any involuntary reduction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or combination of a State’s territory, Art. IV, §3; the Judicial Power Clause, Art. III,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§2, and the Privileges and Immunities Clause, Art. IV, §2, which speak of the “Citizens”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of the States; the amendment provision, Article V, which requires the votes of 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threefourths</w:t>
      </w:r>
      <w:proofErr w:type="spellEnd"/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States to amend the Constitution; and the Guarantee Clause, Art. IV, § 4,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which “presupposes the continued existence of the states and . . . those means and instrumentalities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which are the creation of their sovereign and reserved rights,” </w:t>
      </w:r>
      <w:proofErr w:type="spellStart"/>
      <w:r w:rsidRPr="00EB3912">
        <w:rPr>
          <w:rFonts w:ascii="Times New Roman" w:hAnsi="Times New Roman" w:cs="Times New Roman"/>
          <w:i/>
          <w:iCs/>
          <w:sz w:val="21"/>
          <w:szCs w:val="21"/>
        </w:rPr>
        <w:t>Helvering</w:t>
      </w:r>
      <w:proofErr w:type="spellEnd"/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v. Gerhardt </w:t>
      </w:r>
      <w:r w:rsidRPr="00EB3912">
        <w:rPr>
          <w:rFonts w:ascii="Times New Roman" w:hAnsi="Times New Roman" w:cs="Times New Roman"/>
          <w:sz w:val="21"/>
          <w:szCs w:val="21"/>
        </w:rPr>
        <w:t>(1938). Residual state sovereignty was also implicit, of course, in the Constitution’s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conferral upon Congress of not all governmental powers, but only discrete,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enumerated ones, Art. I, §8, which implication was rendered express by the 10th Amendment’s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assertion that “[t]he powers not delegated to the United States by the Constitution,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nor prohibited by it to the States, are reserved to the States respectively, or to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people.”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lastRenderedPageBreak/>
        <w:t>The Framers’ experience under the Articles of Confederation had persuaded them that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using the States as the instruments of federal governance was both ineffectual and provocative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of federal-state conflict. See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The Federalist </w:t>
      </w:r>
      <w:r w:rsidRPr="00EB3912">
        <w:rPr>
          <w:rFonts w:ascii="Times New Roman" w:hAnsi="Times New Roman" w:cs="Times New Roman"/>
          <w:sz w:val="21"/>
          <w:szCs w:val="21"/>
        </w:rPr>
        <w:t>No. 15. Preservation of the States as independent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political entities being the price of union . . . the Framers rejected the concept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a central government that would act upon and through the States, and instead designed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 system in which the state and federal governments would exercise concurrent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authority over the people—who were, in Hamilton’s words, “the only proper objects of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government,”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The Federalist </w:t>
      </w:r>
      <w:r w:rsidRPr="00EB3912">
        <w:rPr>
          <w:rFonts w:ascii="Times New Roman" w:hAnsi="Times New Roman" w:cs="Times New Roman"/>
          <w:sz w:val="21"/>
          <w:szCs w:val="21"/>
        </w:rPr>
        <w:t>No. 15. . . .”The Framers explicitly chose a Constitution that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confers upon Congress the power to regulate individuals, not States.” [citing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New York v.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United States </w:t>
      </w:r>
      <w:r w:rsidRPr="00EB3912">
        <w:rPr>
          <w:rFonts w:ascii="Times New Roman" w:hAnsi="Times New Roman" w:cs="Times New Roman"/>
          <w:sz w:val="21"/>
          <w:szCs w:val="21"/>
        </w:rPr>
        <w:t>(1992)] The great innovation of this design was that “our citizens would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have two political capacities, one state and one federal, each protected from incursion by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other”—“a legal system unprecedented in form and design, establishing two orders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government, each with its own direct relationship, its own privity, its own set of mutual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rights and obligations to the people who sustain it and are governed by 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it.”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U.S</w:t>
      </w:r>
      <w:proofErr w:type="spellEnd"/>
      <w:r w:rsidRPr="00EB3912">
        <w:rPr>
          <w:rFonts w:ascii="Times New Roman" w:hAnsi="Times New Roman" w:cs="Times New Roman"/>
          <w:i/>
          <w:iCs/>
          <w:sz w:val="21"/>
          <w:szCs w:val="21"/>
        </w:rPr>
        <w:t>. Term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Limits, Inc. v. Thornton </w:t>
      </w:r>
      <w:r w:rsidRPr="00EB3912">
        <w:rPr>
          <w:rFonts w:ascii="Times New Roman" w:hAnsi="Times New Roman" w:cs="Times New Roman"/>
          <w:sz w:val="21"/>
          <w:szCs w:val="21"/>
        </w:rPr>
        <w:t>(1995) (Kennedy, J., concurring). The Constitution thus contemplates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that a State’s government will represent and remain accountable to its own citizens.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This separation of the two spheres is one of the Constitution’s structural protections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liberty. “Just as the separation and independence of the coordinate branches of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Federal Government serve to prevent the accumulation of excessive power in any one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B3912">
        <w:rPr>
          <w:rFonts w:ascii="Times New Roman" w:hAnsi="Times New Roman" w:cs="Times New Roman"/>
          <w:sz w:val="16"/>
          <w:szCs w:val="16"/>
        </w:rPr>
        <w:t xml:space="preserve">03 </w:t>
      </w:r>
      <w:proofErr w:type="spellStart"/>
      <w:r w:rsidRPr="00EB3912">
        <w:rPr>
          <w:rFonts w:ascii="Times New Roman" w:hAnsi="Times New Roman" w:cs="Times New Roman"/>
          <w:sz w:val="16"/>
          <w:szCs w:val="16"/>
        </w:rPr>
        <w:t>curtis</w:t>
      </w:r>
      <w:proofErr w:type="spellEnd"/>
      <w:r w:rsidRPr="00EB3912">
        <w:rPr>
          <w:rFonts w:ascii="Times New Roman" w:hAnsi="Times New Roman" w:cs="Times New Roman"/>
          <w:sz w:val="16"/>
          <w:szCs w:val="16"/>
        </w:rPr>
        <w:t xml:space="preserve"> 3e v1 cx2 11/10/10 10:10 AM Page 275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276 3 · LIMITS ON FEDERAL POWER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branch, a healthy balance of power between the States and the Federal Government will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reduce the risk of tyranny and abuse from either front.”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Gregory</w:t>
      </w:r>
      <w:r w:rsidRPr="00EB3912">
        <w:rPr>
          <w:rFonts w:ascii="Times New Roman" w:hAnsi="Times New Roman" w:cs="Times New Roman"/>
          <w:sz w:val="21"/>
          <w:szCs w:val="21"/>
        </w:rPr>
        <w:t>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power of the Federal Government would be augmented immeasurably if it were able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impress into its service—and at no cost to itself—the police officers of the 50 States.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III-B. We have thus far discussed the effect that federal control of state officers would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have upon the first element of the “double security” alluded to by Madison: the division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power between State and Federal Governments. It would also have an effect upon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second element: the separation and equilibration of powers between the three branches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Federal Government itself. The Constitution does not leave to speculation who is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administer the laws enacted by Congress; the President, it says, “shall take Care that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Laws be faithfully executed,” Art. II, § 3, personally and through officers whom he appoints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(save for such inferior officers as Congress may authorize to be appointed by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“Courts of Law” or by “the Heads of Departments” who are themselves presidential appointees),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Art. II, §2. The Brady Act effectively transfers this responsibility to thousands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CLEOs in the 50 States, who are left to implement the program without meaningful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Presidential control (if indeed meaningful Presidential control is possible without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power to appoint and remove). The insistence of the Framers upon unity in the Federal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Executive—to insure both vigor and accountability—is well known. That unity would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be shattered, and the power of the President would be subject to reduction, if Congress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could act as effectively without the President as with him, by simply requiring state officers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execute its laws.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III-C. The dissent of course resorts to the last, best hope of those who defend ultra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vires congressional action, the Necessary and Proper Clause. . . . What destroys the dissent’s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Necessary and Proper Clause argument, however, is . . . the Necessary and Proper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Clause itself. . . . We in fact answered the dissent’s Necessary and Proper Clause argument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New York</w:t>
      </w:r>
      <w:r w:rsidRPr="00EB3912">
        <w:rPr>
          <w:rFonts w:ascii="Times New Roman" w:hAnsi="Times New Roman" w:cs="Times New Roman"/>
          <w:sz w:val="21"/>
          <w:szCs w:val="21"/>
        </w:rPr>
        <w:t>: “[E]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ven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where Congress has the authority under the Constitution to pass laws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requiring or prohibiting certain acts, it lacks the power directly to compel the States to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require or prohibit those acts. . . . [T]he Commerce Clause, for example, authorizes Congress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regulate interstate commerce directly; it does not authorize Congress to regulate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state governments’ regulation of interstate commerce.”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New York v. United States.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IV. Finally, and most conclusively in the present litigation, we turn to the prior jurisprudence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this Court. Federal commandeering of state governments is such a novel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lastRenderedPageBreak/>
        <w:t>phenomenon that this Court’s first experience with it did not occur until the 1970’s, when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Environmental Protection Agency promulgated regulations requiring States to prescribe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auto emissions testing, monitoring and retrofit programs, and to designate preferential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bus and carpool lanes.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[L]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ater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opinions of ours have made clear that the Federal Government may not compel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States to implement, by legislation or executive action, federal regulatory programs.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Hodel v. Virginia Surface Mining &amp; Reclamation Assn., Inc. </w:t>
      </w:r>
      <w:r w:rsidRPr="00EB3912">
        <w:rPr>
          <w:rFonts w:ascii="Times New Roman" w:hAnsi="Times New Roman" w:cs="Times New Roman"/>
          <w:sz w:val="21"/>
          <w:szCs w:val="21"/>
        </w:rPr>
        <w:t xml:space="preserve">(1981) and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FERC v.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Mississippi </w:t>
      </w:r>
      <w:r w:rsidRPr="00EB3912">
        <w:rPr>
          <w:rFonts w:ascii="Times New Roman" w:hAnsi="Times New Roman" w:cs="Times New Roman"/>
          <w:sz w:val="21"/>
          <w:szCs w:val="21"/>
        </w:rPr>
        <w:t>(1982), we sustained statutes against constitutional challenge only after assuring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ourselves that they did not require the States to enforce federal law. 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Hodel </w:t>
      </w:r>
      <w:r w:rsidRPr="00EB3912">
        <w:rPr>
          <w:rFonts w:ascii="Times New Roman" w:hAnsi="Times New Roman" w:cs="Times New Roman"/>
          <w:sz w:val="21"/>
          <w:szCs w:val="21"/>
        </w:rPr>
        <w:t>we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concluded that the Surface Mining Control and Reclamation Act . . . merely made compliance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with federal standards a precondition to continued state regulation in an otherwise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pre-empted.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Hodel</w:t>
      </w:r>
      <w:r w:rsidRPr="00EB3912">
        <w:rPr>
          <w:rFonts w:ascii="Times New Roman" w:hAnsi="Times New Roman" w:cs="Times New Roman"/>
          <w:sz w:val="21"/>
          <w:szCs w:val="21"/>
        </w:rPr>
        <w:t xml:space="preserve">. 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FERC</w:t>
      </w:r>
      <w:r w:rsidRPr="00EB3912">
        <w:rPr>
          <w:rFonts w:ascii="Times New Roman" w:hAnsi="Times New Roman" w:cs="Times New Roman"/>
          <w:sz w:val="21"/>
          <w:szCs w:val="21"/>
        </w:rPr>
        <w:t>, we construed. . . . the Public Utility Regulatory Policies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Act of 1978, to contain only the “command” that state agencies “consider” federal standards,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again only as a precondition to continued state regulation of an otherwise preempted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proofErr w:type="spellStart"/>
      <w:r w:rsidRPr="00EB3912">
        <w:rPr>
          <w:rFonts w:ascii="Times New Roman" w:hAnsi="Times New Roman" w:cs="Times New Roman"/>
          <w:sz w:val="21"/>
          <w:szCs w:val="21"/>
        </w:rPr>
        <w:t>field.We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warned that “this Court never has sanctioned explicitly a federal command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the States to promulgate and enforce laws and regulations.”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B3912">
        <w:rPr>
          <w:rFonts w:ascii="Times New Roman" w:hAnsi="Times New Roman" w:cs="Times New Roman"/>
          <w:sz w:val="16"/>
          <w:szCs w:val="16"/>
        </w:rPr>
        <w:t xml:space="preserve">03 </w:t>
      </w:r>
      <w:proofErr w:type="spellStart"/>
      <w:r w:rsidRPr="00EB3912">
        <w:rPr>
          <w:rFonts w:ascii="Times New Roman" w:hAnsi="Times New Roman" w:cs="Times New Roman"/>
          <w:sz w:val="16"/>
          <w:szCs w:val="16"/>
        </w:rPr>
        <w:t>curtis</w:t>
      </w:r>
      <w:proofErr w:type="spellEnd"/>
      <w:r w:rsidRPr="00EB3912">
        <w:rPr>
          <w:rFonts w:ascii="Times New Roman" w:hAnsi="Times New Roman" w:cs="Times New Roman"/>
          <w:sz w:val="16"/>
          <w:szCs w:val="16"/>
        </w:rPr>
        <w:t xml:space="preserve"> 3e v1 cx2 11/10/10 10:10 AM Page 276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3 · LIMITS ON FEDERAL POWER 277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When we were at last confronted squarely with a federal statute that unambiguously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required the States to enact or administer a federal regulatory program, our decision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should have come as no surprise. At issue 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New York v. United States </w:t>
      </w:r>
      <w:r w:rsidRPr="00EB3912">
        <w:rPr>
          <w:rFonts w:ascii="Times New Roman" w:hAnsi="Times New Roman" w:cs="Times New Roman"/>
          <w:sz w:val="21"/>
          <w:szCs w:val="21"/>
        </w:rPr>
        <w:t>(1992) were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so-called “take title” provisions of the Low-Level Radioactive Waste Policy Amendments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Act of 1985, which required States either to enact legislation providing for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disposal of radioactive waste generated within their borders, or to take title to, and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possession of the waste—effectively requiring the States either to legislate pursuant to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Congress’s directions, or to implement an administrative solution. We concluded that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Congress could constitutionally require the States to do neither. “The Federal Government,”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we held, “may not compel the States to enact or administer a federal regulatory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program.”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The Government contends that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New York </w:t>
      </w:r>
      <w:r w:rsidRPr="00EB3912">
        <w:rPr>
          <w:rFonts w:ascii="Times New Roman" w:hAnsi="Times New Roman" w:cs="Times New Roman"/>
          <w:sz w:val="21"/>
          <w:szCs w:val="21"/>
        </w:rPr>
        <w:t>is distinguishable on the following ground: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unlike the “take title” provisions invalidated there, the background-check provision of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Brady Act does not require state legislative or executive officials to make policy, but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instead issues a final directive to state CLEOs. It is permissible, the Government asserts,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for Congress to command state or local officials to assist in the implementation of federal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law so long as “Congress itself devises a clear legislative solution that regulates private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conduct” and requires state or local officers to provide only “limited,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non-policymaking help in enforcing that law.” “[T]he constitutional line is crossed only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when Congress compels the States to make law in their sovereign capacities.”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Brief for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United States </w:t>
      </w:r>
      <w:r w:rsidRPr="00EB3912">
        <w:rPr>
          <w:rFonts w:ascii="Times New Roman" w:hAnsi="Times New Roman" w:cs="Times New Roman"/>
          <w:sz w:val="21"/>
          <w:szCs w:val="21"/>
        </w:rPr>
        <w:t>16.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Government’s distinction between “making” law and merely “enforcing” it, between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“policymaking” and mere “implementation,” is an interesting one. It is perhaps not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meant to be the same as, but it is surely reminiscent of, the line that separates proper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congressional conferral of Executive power from unconstitutional delegation of legislative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authority for federal separation-of-powers purposes. This Court has not been notably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successful in describing the latter line; indeed, some think we have abandoned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effort to do so. We are doubtful that the new line the Government proposes would be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any more distinct. Executive action that has utterly no policymaking component is rare,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particularly at an executive level as high as a jurisdiction’s chief law-enforcement officer.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Is it really true that there is no policymaking involved in deciding, for example, what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“reasonable efforts” shall be expended to conduct a background check? . . . Is [a] decision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whether to devote maximum “reasonable efforts” or minimum “reasonable efforts” not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preeminently a matter of policy? It is quite impossible, in short, to draw the Government’s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proposed line at “no policymaking,” and we would have to fall back upon a line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of “not too much 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policymaking.”How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much is too much is not likely to be answered precisely;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lastRenderedPageBreak/>
        <w:t>and an imprecise barrier against federal intrusion upon state authority is not likely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be an effective one.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Even assuming, moreover, that the Brady Act leaves no “policymaking” discretion with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States, we fail to see how that improves rather than worsens the intrusion upon state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sovereignty. Preservation of the States as independent and autonomous political entities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is arguably less undermined by requiring them to make policy in certain fields than . . . by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“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reduc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>[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ing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] [them] to puppets of a ventriloquist Congress,”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Brown v. EPA </w:t>
      </w:r>
      <w:r w:rsidRPr="00EB3912">
        <w:rPr>
          <w:rFonts w:ascii="Times New Roman" w:hAnsi="Times New Roman" w:cs="Times New Roman"/>
          <w:sz w:val="21"/>
          <w:szCs w:val="21"/>
        </w:rPr>
        <w:t>(1975). It is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 essential attribute of the States’ retained sovereignty that they remain independent and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autonomous within their proper sphere of authority. It is no more compatible with this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independence and autonomy that their officers be “dragooned” (as Judge Fernandez put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it in his dissent below) into administering federal law, than it would be compatible with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independence and autonomy of the United States that its officers be impressed into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service for the execution of state laws.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B3912">
        <w:rPr>
          <w:rFonts w:ascii="Times New Roman" w:hAnsi="Times New Roman" w:cs="Times New Roman"/>
          <w:sz w:val="16"/>
          <w:szCs w:val="16"/>
        </w:rPr>
        <w:t xml:space="preserve">03 </w:t>
      </w:r>
      <w:proofErr w:type="spellStart"/>
      <w:r w:rsidRPr="00EB3912">
        <w:rPr>
          <w:rFonts w:ascii="Times New Roman" w:hAnsi="Times New Roman" w:cs="Times New Roman"/>
          <w:sz w:val="16"/>
          <w:szCs w:val="16"/>
        </w:rPr>
        <w:t>curtis</w:t>
      </w:r>
      <w:proofErr w:type="spellEnd"/>
      <w:r w:rsidRPr="00EB3912">
        <w:rPr>
          <w:rFonts w:ascii="Times New Roman" w:hAnsi="Times New Roman" w:cs="Times New Roman"/>
          <w:sz w:val="16"/>
          <w:szCs w:val="16"/>
        </w:rPr>
        <w:t xml:space="preserve"> 3e v1 cx2 11/10/10 10:10 AM Page 277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278 3 · LIMITS ON FEDERAL POWER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Government also maintains that requiring state officers to perform discrete, ministerial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tasks specified by Congress does not violate the principle of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New York </w:t>
      </w:r>
      <w:r w:rsidRPr="00EB3912">
        <w:rPr>
          <w:rFonts w:ascii="Times New Roman" w:hAnsi="Times New Roman" w:cs="Times New Roman"/>
          <w:sz w:val="21"/>
          <w:szCs w:val="21"/>
        </w:rPr>
        <w:t>because it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does not diminish the accountability of state or federal officials. This argument fails even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on its own terms. By forcing state governments to absorb the financial burden of implementing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 federal regulatory program, Members of Congress can take credit for “solving” problems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without having to ask their constituents to pay for the solutions with higher federal taxes.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even when the States are not forced to absorb the costs of implementing a federal program,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they are still put in the position of taking the blame for its burdensomeness and for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its defects. Under the present law, for example, it will be the CLEO and not some federal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official who stands between the gun purchaser and immediate possession of his gun. And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it will likely be the CLEO, not some federal official, who will be blamed for any error (even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one in the designated federal database) that causes a purchaser to 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bemistakenly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rejected.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Finally, the Government puts forward a cluster of arguments that can be grouped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under the heading: “The Brady Act serves very important purposes, is most efficiently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administered by CLEOs during the interim period, and places a minimal and only temporary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burden upon state officers.” . . . Assuming all the mentioned factors were true, they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might be relevant if we were evaluating whether the incidental application to the States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a federal law of general applicability excessively interfered with the functioning of state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governments. But where, as here, it is the whole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object </w:t>
      </w:r>
      <w:r w:rsidRPr="00EB3912">
        <w:rPr>
          <w:rFonts w:ascii="Times New Roman" w:hAnsi="Times New Roman" w:cs="Times New Roman"/>
          <w:sz w:val="21"/>
          <w:szCs w:val="21"/>
        </w:rPr>
        <w:t>of the law to direct the functioning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state executive, and hence to compromise the structural framework of dual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sovereignty, such a “balancing” analysis is inappropriate. It is the very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principle </w:t>
      </w:r>
      <w:r w:rsidRPr="00EB3912">
        <w:rPr>
          <w:rFonts w:ascii="Times New Roman" w:hAnsi="Times New Roman" w:cs="Times New Roman"/>
          <w:sz w:val="21"/>
          <w:szCs w:val="21"/>
        </w:rPr>
        <w:t>of separate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state sovereignty that such a law offends, and no comparative assessment of the various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interests can overcome that fundamental defect.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V. . . . We held 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New York </w:t>
      </w:r>
      <w:r w:rsidRPr="00EB3912">
        <w:rPr>
          <w:rFonts w:ascii="Times New Roman" w:hAnsi="Times New Roman" w:cs="Times New Roman"/>
          <w:sz w:val="21"/>
          <w:szCs w:val="21"/>
        </w:rPr>
        <w:t>that Congress cannot compel the States to enact or enforce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 federal regulatory program. Today we hold that Congress cannot circumvent that prohibition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by conscripting the State’s officers directly. The Federal Government may neither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issue directives requiring the States to address particular problems, nor command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States’ officers, or those of their political subdivisions, to administer or enforce a federal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regulatory program. It matters not whether policymaking is involved, and no case-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bycase</w:t>
      </w:r>
      <w:proofErr w:type="spellEnd"/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weighing of the burdens or benefits is necessary; such commands are fundamentally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incompatible with our constitutional system of dual sovereignty. Accordingly, the judgment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Court of Appeals for the Ninth Circuit is reversed.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It is so ordered.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EB3912">
        <w:rPr>
          <w:rFonts w:ascii="Times New Roman" w:hAnsi="Times New Roman" w:cs="Times New Roman"/>
          <w:b/>
          <w:bCs/>
          <w:sz w:val="21"/>
          <w:szCs w:val="21"/>
        </w:rPr>
        <w:t>Justice O’Connor, concurring.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Our precedent and our Nation’s historical practices support the Court’s holding today.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Brady Act violates the 10th Amendment to the extent it forces States and local law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enforcement officers to perform background checks on prospective handgun owners and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accept Brady Forms from firearms dealers. Our holding, of course, does not spell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end of the objectives of the Brady Act. . . . Congress is . . . free to amend the interim program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lastRenderedPageBreak/>
        <w:t>to provide for its continuance on a contractual basis with the States if it wishes, as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it does with a number of other federal programs.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 addition, the Court appropriately refrains from deciding whether other purely ministerial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reporting requirements imposed by Congress on state and local authorities pursuant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its Commerce Clause powers are similarly invalid. See, e.g., 42 U.S.C. §5779(a)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(requiring state and local law enforcement agencies to report cases of missing children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the Department of Justice). The provisions invalidated here, however, which directly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compel state officials to administer a federal regulatory program, utterly fail to adhere to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design and structure of our constitutional scheme.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B3912">
        <w:rPr>
          <w:rFonts w:ascii="Times New Roman" w:hAnsi="Times New Roman" w:cs="Times New Roman"/>
          <w:sz w:val="16"/>
          <w:szCs w:val="16"/>
        </w:rPr>
        <w:t xml:space="preserve">03 </w:t>
      </w:r>
      <w:proofErr w:type="spellStart"/>
      <w:r w:rsidRPr="00EB3912">
        <w:rPr>
          <w:rFonts w:ascii="Times New Roman" w:hAnsi="Times New Roman" w:cs="Times New Roman"/>
          <w:sz w:val="16"/>
          <w:szCs w:val="16"/>
        </w:rPr>
        <w:t>curtis</w:t>
      </w:r>
      <w:proofErr w:type="spellEnd"/>
      <w:r w:rsidRPr="00EB3912">
        <w:rPr>
          <w:rFonts w:ascii="Times New Roman" w:hAnsi="Times New Roman" w:cs="Times New Roman"/>
          <w:sz w:val="16"/>
          <w:szCs w:val="16"/>
        </w:rPr>
        <w:t xml:space="preserve"> 3e v1 cx2 11/10/10 10:10 AM Page 278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3 · LIMITS ON FEDERAL POWER 279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b/>
          <w:bCs/>
          <w:sz w:val="21"/>
          <w:szCs w:val="21"/>
        </w:rPr>
        <w:t xml:space="preserve">Justice Thomas, concurring. </w:t>
      </w:r>
      <w:r w:rsidRPr="00EB3912">
        <w:rPr>
          <w:rFonts w:ascii="Times New Roman" w:hAnsi="Times New Roman" w:cs="Times New Roman"/>
          <w:sz w:val="21"/>
          <w:szCs w:val="21"/>
        </w:rPr>
        <w:t>[Omitted].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EB3912">
        <w:rPr>
          <w:rFonts w:ascii="Times New Roman" w:hAnsi="Times New Roman" w:cs="Times New Roman"/>
          <w:b/>
          <w:bCs/>
          <w:sz w:val="21"/>
          <w:szCs w:val="21"/>
        </w:rPr>
        <w:t>Justice Stevens, with whom Justice Souter, Justice Ginsburg, and Justice Breyer join,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EB3912">
        <w:rPr>
          <w:rFonts w:ascii="Times New Roman" w:hAnsi="Times New Roman" w:cs="Times New Roman"/>
          <w:b/>
          <w:bCs/>
          <w:sz w:val="21"/>
          <w:szCs w:val="21"/>
        </w:rPr>
        <w:t>dissenting.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When Congress exercises the powers delegated to it by the Constitution, it may impose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affirmative obligations on executive and judicial officers of state and local governments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as well as ordinary citizens. This conclusion is firmly supported by the text of the Constitution,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early history of the Nation, decisions of this Court, and a correct understanding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basic structure of the Federal Government.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These cases do not implicate the more difficult questions associated with congressional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coercion of state legislatures addressed 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New York v. United States </w:t>
      </w:r>
      <w:r w:rsidRPr="00EB3912">
        <w:rPr>
          <w:rFonts w:ascii="Times New Roman" w:hAnsi="Times New Roman" w:cs="Times New Roman"/>
          <w:sz w:val="21"/>
          <w:szCs w:val="21"/>
        </w:rPr>
        <w:t>(1992). Nor need we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consider the wisdom of relying on local officials rather than federal agents to carry out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aspects of a federal program . . . The question is whether Congress, acting on behalf of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people of the entire Nation, may require local law enforcement officers to perform certain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duties during the interim needed for the development of a federal gun control program.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It is remarkably similar to the question, heavily debated by the Framers of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Constitution, whether the Congress could require state agents to collect federal taxes. Or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question whether Congress could impress state judges into federal service to entertain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decide cases that they would prefer to ignore.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Indeed, since the ultimate issue is one of power, we must consider its implications in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times of national emergency. Matters such as the enlistment of air raid wardens, the administration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a military draft, the mass inoculation of children to forestall an epidemic,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or perhaps the threat of an international terrorist, may require a national response before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federal personnel can be made available to respond. If the Constitution empowers Congress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the President to make an appropriate response, is there anything in the 10th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Amendment, “in historical understanding and practice, in the structure of the Constitution,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[or] in the jurisprudence of this Court,” that forbids the enlistment of state officers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make that response effective? More narrowly, what basis is there in any of those sources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for concluding that it is the Members of this Court, rather than the elected representatives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people, who should determine whether the Constitution contains the unwritten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rule that the Court announces today?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Perhaps today’s majority would suggest that no such emergency is presented by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facts of these cases. But such a suggestion is itself an expression of a policy judgment.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Congress’ view of the matter is quite different from that implied by the Court today.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Brady Act was passed in response to what Congress described as an “epidemic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gun violence.” The Act’s legislative history notes that 15,377 Americans were murdered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with firearms in 1992, and that 12,489 of these deaths were caused by handguns.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Congress expressed special concern that “[t]he level of firearm violence in this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country is, by far, the highest among developed nations.” The partial solution contained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 the Brady Act, a mandatory background check before a handgun may be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purchased, has met with remarkable success. Between 1994 and 1996, approximately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6,600 firearm sales each month to potentially dangerous persons were prevented by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Brady Act checks; over 70% of the rejected purchasers were convicted or indicted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felons. Whether or not the evaluation reflected in the enactment of the Brady Act is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lastRenderedPageBreak/>
        <w:t>correct as to the extent of the danger and the efficacy of the legislation, the congressional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decision surely warrants more respect than it is accorded in today’s unprecedented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decision.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I. The text of the Constitution provides a sufficient basis for a correct disposition of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this case.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B3912">
        <w:rPr>
          <w:rFonts w:ascii="Times New Roman" w:hAnsi="Times New Roman" w:cs="Times New Roman"/>
          <w:sz w:val="16"/>
          <w:szCs w:val="16"/>
        </w:rPr>
        <w:t xml:space="preserve">03 </w:t>
      </w:r>
      <w:proofErr w:type="spellStart"/>
      <w:r w:rsidRPr="00EB3912">
        <w:rPr>
          <w:rFonts w:ascii="Times New Roman" w:hAnsi="Times New Roman" w:cs="Times New Roman"/>
          <w:sz w:val="16"/>
          <w:szCs w:val="16"/>
        </w:rPr>
        <w:t>curtis</w:t>
      </w:r>
      <w:proofErr w:type="spellEnd"/>
      <w:r w:rsidRPr="00EB3912">
        <w:rPr>
          <w:rFonts w:ascii="Times New Roman" w:hAnsi="Times New Roman" w:cs="Times New Roman"/>
          <w:sz w:val="16"/>
          <w:szCs w:val="16"/>
        </w:rPr>
        <w:t xml:space="preserve"> 3e v1 cx2 11/10/10 10:10 AM Page 279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280 3 · LIMITS ON FEDERAL POWER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Article I, §8, grants the Congress the power to regulate commerce among the States.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Putting to one side the revisionist views expressed by Justice Thomas in his concurring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opinion 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United States v. Lopez </w:t>
      </w:r>
      <w:r w:rsidRPr="00EB3912">
        <w:rPr>
          <w:rFonts w:ascii="Times New Roman" w:hAnsi="Times New Roman" w:cs="Times New Roman"/>
          <w:sz w:val="21"/>
          <w:szCs w:val="21"/>
        </w:rPr>
        <w:t>(1995), there can be no question that that provision adequately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supports the regulation of commerce in handguns effected by the Brady Act.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Moreover, the additional grant of authority in that section of the Constitution “[t]o make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all Laws which shall be necessary and proper for carrying into Execution the foregoing Powers”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is surely adequate to support the temporary enlistment of local police officers in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process of identifying persons who should not be entrusted with the possession of handguns.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. . . Unlike the 1st Amendment, which prohibits the enactment of a category of laws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that would otherwise be authorized by Article I, the 10th Amendment imposes no restriction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on the exercise of delegated powers.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II. Under the Articles of Confederation the National Government had the power to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issue commands to the several sovereign states, but it had no authority to govern individuals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directly.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That method of governing proved to be unacceptable, not because it demeaned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sovereign character of the several States, but rather because it was cumbersome and inefficient.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. . . The basic change in the character of the government that the Framers conceived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was designed to enhance the power of the national government, not to provide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some new, unmentioned immunity for state officers. Because indirect control over individual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citizens (“the only proper objects of government”) was ineffective under the Articles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of Confederation, Alexander Hamilton explained that “we must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extend </w:t>
      </w:r>
      <w:r w:rsidRPr="00EB3912">
        <w:rPr>
          <w:rFonts w:ascii="Times New Roman" w:hAnsi="Times New Roman" w:cs="Times New Roman"/>
          <w:sz w:val="21"/>
          <w:szCs w:val="21"/>
        </w:rPr>
        <w:t>the authority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of the Union to the persons of the citizens.”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The Federalist </w:t>
      </w:r>
      <w:r w:rsidRPr="00EB3912">
        <w:rPr>
          <w:rFonts w:ascii="Times New Roman" w:hAnsi="Times New Roman" w:cs="Times New Roman"/>
          <w:sz w:val="21"/>
          <w:szCs w:val="21"/>
        </w:rPr>
        <w:t>No. 15 (emphasis added).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Indeed, the historical materials strongly suggest that the Founders intended to enhance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capacity of the federal government by empowering it—as a part of the new authority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make demands directly on individual citizens—to act through local officials.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More specifically, during the debates concerning the ratification of the Constitution,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it was assumed that state agents would act as tax collectors for the federal government.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Court’s response to this powerful historical evidence is weak. The majority suggests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that “none of these statements necessarily implies . . . Congress could impose these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responsibilities without the consent of the States.” No fair reading of these materials can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justify such an interpretation. As Hamilton explained, the power of the government to act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on “individual citizens”—including “employ[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ing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] the 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ordinarymagistracy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>” of the States—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was an answer to the problems faced by a central government that could act only directly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“upon the States in their political or collective capacities.”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The Federalist </w:t>
      </w:r>
      <w:r w:rsidRPr="00EB3912">
        <w:rPr>
          <w:rFonts w:ascii="Times New Roman" w:hAnsi="Times New Roman" w:cs="Times New Roman"/>
          <w:sz w:val="21"/>
          <w:szCs w:val="21"/>
        </w:rPr>
        <w:t>No. 27. The new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Constitution would avoid this problem, resulting in “a regular and peaceable execution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the law of the Union.”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This point is made especially clear in Hamilton’s statement that “the legislatures, courts,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magistrates, of the respective members, will be incorporated into the operations of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the national government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as far as its just and constitutional authority extends</w:t>
      </w:r>
      <w:r w:rsidRPr="00EB3912">
        <w:rPr>
          <w:rFonts w:ascii="Times New Roman" w:hAnsi="Times New Roman" w:cs="Times New Roman"/>
          <w:sz w:val="21"/>
          <w:szCs w:val="21"/>
        </w:rPr>
        <w:t xml:space="preserve">; and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will be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>rendered auxiliary to the enforcement of its laws</w:t>
      </w:r>
      <w:r w:rsidRPr="00EB3912">
        <w:rPr>
          <w:rFonts w:ascii="Times New Roman" w:hAnsi="Times New Roman" w:cs="Times New Roman"/>
          <w:sz w:val="21"/>
          <w:szCs w:val="21"/>
        </w:rPr>
        <w:t>” (second emphasis added).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[The Court’s] position, if correct, would undermine most of our post-New Deal Commerce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Clause jurisprudence. As Justice O’Connor quite properly noted 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New York</w:t>
      </w:r>
      <w:r w:rsidRPr="00EB3912">
        <w:rPr>
          <w:rFonts w:ascii="Times New Roman" w:hAnsi="Times New Roman" w:cs="Times New Roman"/>
          <w:sz w:val="21"/>
          <w:szCs w:val="21"/>
        </w:rPr>
        <w:t>, “[t]he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Federal Government undertakes activities today that would have been unimaginable to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Framers.”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More importantly, the fact that Congress did elect to rely on state judges and the clerks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state courts to perform a variety of executive functions, is surely evidence of a contemporary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understanding that their status as state officials did not immunize them from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B3912">
        <w:rPr>
          <w:rFonts w:ascii="Times New Roman" w:hAnsi="Times New Roman" w:cs="Times New Roman"/>
          <w:sz w:val="16"/>
          <w:szCs w:val="16"/>
        </w:rPr>
        <w:lastRenderedPageBreak/>
        <w:t xml:space="preserve">03 </w:t>
      </w:r>
      <w:proofErr w:type="spellStart"/>
      <w:r w:rsidRPr="00EB3912">
        <w:rPr>
          <w:rFonts w:ascii="Times New Roman" w:hAnsi="Times New Roman" w:cs="Times New Roman"/>
          <w:sz w:val="16"/>
          <w:szCs w:val="16"/>
        </w:rPr>
        <w:t>curtis</w:t>
      </w:r>
      <w:proofErr w:type="spellEnd"/>
      <w:r w:rsidRPr="00EB3912">
        <w:rPr>
          <w:rFonts w:ascii="Times New Roman" w:hAnsi="Times New Roman" w:cs="Times New Roman"/>
          <w:sz w:val="16"/>
          <w:szCs w:val="16"/>
        </w:rPr>
        <w:t xml:space="preserve"> 3e v1 cx2 11/10/10 10:10 AM Page 280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3 · LIMITS ON FEDERAL POWER 281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federal service. The majority’s description of these early statutes is both incomplete and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at times misleading.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Court’s evaluation of the historical evidence, furthermore, fails to acknowledge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important difference between policy decisions that may have been influenced by respect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for state sovereignty concerns, and decisions that are compelled by the Constitution.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Thus, for example, the decision by Congress to give President Wilson the authority to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utilize the services of state officers in implementing 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theWorldWar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I draft, see Act of May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18, 1917, surely indicates that the national legislature saw no constitutional impediment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the enlistment of state assistance during a federal emergency. The fact that the President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was able to implement the program by respectfully “request[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ing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>]” state action, rather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than bluntly commanding it, is evidence that he was an effective statesman, but surely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does not indicate that he doubted either his or Congress’ power to 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usemandatory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language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if necessary.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III. The Court’s “structural” arguments are not sufficient to rebut that presumption.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fact that the Framers intended to preserve the sovereignty of the several States simply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does not speak to the question whether individual state employees may be required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perform federal obligations, such as registering young adults for the draft, creating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state emergency response commissions designed to manage the release of hazardous substances,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collecting and reporting data on underground storage tanks that may pose an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environmental hazard, and reporting traffic fatalities, and missing children, to a federal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agency.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Given the fact that the Members of Congress are elected by the people of the several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States, with each State receiving an equivalent number of Senators in order to ensure that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even the smallest States have a powerful voice in the legislature, it is quite unrealistic to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assume that they will ignore the sovereignty concerns of their constituents. It is far more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reasonable to presume that their decisions to impose modest burdens on state officials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from time to time reflect a considered judgment that the people in each of the States will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benefit therefrom.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Indeed, the presumption of validity that supports all congressional enactments has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added force with respect to policy judgments concerning the impact of a federal statute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upon the respective States.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Perversely, the majority’s rule seems more likely to damage than to preserve the safeguards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against tyranny provided by the existence of vital state governments. By limiting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ability of the Federal Government to enlist state officials in the implementation of its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programs, the Court creates incentives for the National Government to aggrandize itself.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 the name of State’s rights, the majority would have the Federal Government create vast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national bureaucracies to implement its policies.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Nor is there force to the assumption undergirding the Court’s entire opinion that if this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trivial burden on state sovereignty is permissible, the entire structure of federalism will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soon collapse. These cases do not involve any mandate to state legislatures to enact new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rules. When legislative action, or even administrative rule making, is at issue, it may be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appropriate for Congress either to pre-empt the State’s lawmaking power and fashion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federal rule itself, or to respect the State’s power to fashion its own rules. But this case,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unlike any precedent in which the Court has held that Congress exceeded its powers,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merely involves the imposition of modest duties on individual officers.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Far more important than the concerns that the Court musters in support of its new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rule is the fact that the Framers entrusted Congress with the task of creating a working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structure of intergovernmental relationships around the framework that the </w:t>
      </w:r>
      <w:proofErr w:type="spellStart"/>
      <w:r w:rsidRPr="00EB3912">
        <w:rPr>
          <w:rFonts w:ascii="Times New Roman" w:hAnsi="Times New Roman" w:cs="Times New Roman"/>
          <w:sz w:val="21"/>
          <w:szCs w:val="21"/>
        </w:rPr>
        <w:t>Constitu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>-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B3912">
        <w:rPr>
          <w:rFonts w:ascii="Times New Roman" w:hAnsi="Times New Roman" w:cs="Times New Roman"/>
          <w:sz w:val="16"/>
          <w:szCs w:val="16"/>
        </w:rPr>
        <w:t xml:space="preserve">03 </w:t>
      </w:r>
      <w:proofErr w:type="spellStart"/>
      <w:r w:rsidRPr="00EB3912">
        <w:rPr>
          <w:rFonts w:ascii="Times New Roman" w:hAnsi="Times New Roman" w:cs="Times New Roman"/>
          <w:sz w:val="16"/>
          <w:szCs w:val="16"/>
        </w:rPr>
        <w:t>curtis</w:t>
      </w:r>
      <w:proofErr w:type="spellEnd"/>
      <w:r w:rsidRPr="00EB3912">
        <w:rPr>
          <w:rFonts w:ascii="Times New Roman" w:hAnsi="Times New Roman" w:cs="Times New Roman"/>
          <w:sz w:val="16"/>
          <w:szCs w:val="16"/>
        </w:rPr>
        <w:t xml:space="preserve"> 3e v1 cx2 11/10/10 10:10 AM Page 281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282 3 · LIMITS ON FEDERAL POWER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proofErr w:type="spellStart"/>
      <w:r w:rsidRPr="00EB3912">
        <w:rPr>
          <w:rFonts w:ascii="Times New Roman" w:hAnsi="Times New Roman" w:cs="Times New Roman"/>
          <w:sz w:val="21"/>
          <w:szCs w:val="21"/>
        </w:rPr>
        <w:t>tion</w:t>
      </w:r>
      <w:proofErr w:type="spellEnd"/>
      <w:r w:rsidRPr="00EB3912">
        <w:rPr>
          <w:rFonts w:ascii="Times New Roman" w:hAnsi="Times New Roman" w:cs="Times New Roman"/>
          <w:sz w:val="21"/>
          <w:szCs w:val="21"/>
        </w:rPr>
        <w:t xml:space="preserve"> authorized. Neither explicitly nor implicitly did the Framers issue any command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that forbids Congress from imposing federal duties on private citizens or on local officials.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lastRenderedPageBreak/>
        <w:t>As a general matter, Congress has followed the sound policy of authorizing federal agencies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and federal agents to administer federal programs. That general practice, however, does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not negate the existence of power to rely on state officials in occasional situations in which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such reliance is in the national interest.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IV. Finally, the Court advises us that the “prior jurisprudence of this Court” is the most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conclusive support for its position. That “prior jurisprudence” is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New York v. United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>States</w:t>
      </w:r>
      <w:r w:rsidRPr="00EB3912">
        <w:rPr>
          <w:rFonts w:ascii="Times New Roman" w:hAnsi="Times New Roman" w:cs="Times New Roman"/>
          <w:sz w:val="21"/>
          <w:szCs w:val="21"/>
        </w:rPr>
        <w:t>. The case involved the validity of a federal statute that provided the States with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three types of incentives to encourage them to dispose of radioactive wastes generated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within their borders. The Court held that the first two sets of incentives were authorized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by affirmative grants of power to Congress, and therefore “not inconsistent with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10th Amendment.” That holding, of course, sheds no doubt on the validity of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Brady Act.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third so-called “incentive” gave the States the option either of adopting regulations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dictated by Congress or of taking title to and possession of the low level radioactive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waste. The Court concluded that, because Congress had no power to compel the state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governments to take title to the waste, the “option” really amounted to a simple command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to the States to enact and enforce a federal regulatory program.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Our statements, taken in context, clearly did not decide the question presented here,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whether state executive officials—as opposed to state legislators—may in appropriate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circumstances be enlisted to implement federal policy. The “take title” provision at issue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New York </w:t>
      </w:r>
      <w:r w:rsidRPr="00EB3912">
        <w:rPr>
          <w:rFonts w:ascii="Times New Roman" w:hAnsi="Times New Roman" w:cs="Times New Roman"/>
          <w:sz w:val="21"/>
          <w:szCs w:val="21"/>
        </w:rPr>
        <w:t>was beyond Congress’ authority to enact because it was “in principle . . . no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different than a congressionally compelled subsidy from state governments to radioactive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waste producers,” almost certainly a legislative act.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Finally, the majority provides an incomplete explanation of our decision 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Testa v.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proofErr w:type="spellStart"/>
      <w:r w:rsidRPr="00EB3912">
        <w:rPr>
          <w:rFonts w:ascii="Times New Roman" w:hAnsi="Times New Roman" w:cs="Times New Roman"/>
          <w:i/>
          <w:iCs/>
          <w:sz w:val="21"/>
          <w:szCs w:val="21"/>
        </w:rPr>
        <w:t>Katt</w:t>
      </w:r>
      <w:proofErr w:type="spellEnd"/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 </w:t>
      </w:r>
      <w:r w:rsidRPr="00EB3912">
        <w:rPr>
          <w:rFonts w:ascii="Times New Roman" w:hAnsi="Times New Roman" w:cs="Times New Roman"/>
          <w:sz w:val="21"/>
          <w:szCs w:val="21"/>
        </w:rPr>
        <w:t>(1947), and demeans its importance. In that case the Court unanimously held that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state courts of appropriate jurisdiction must occupy themselves adjudicating claims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brought by private litigants under the federal Emergency Price Control Act of 1942, regardless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how otherwise crowded their dockets might be with state law matters. That is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 much greater imposition on state sovereignty than the Court’s characterization of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case as merely holding that “state courts cannot refuse to apply federal law.” That characterization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describes only the narrower duty to apply federal law in cases that the state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courts have consented to entertain.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language drawn from the Supremacy Clause upon which the majority relies (“the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Judges in every State shall be bound [by federal law], any Thing in the Constitution or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Laws of any state to the Contrary notwithstanding”), expressly embraces that narrower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conflict of laws principle. Art. VI, cl. 2. But the Supremacy Clause means far more. As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Testa </w:t>
      </w:r>
      <w:r w:rsidRPr="00EB3912">
        <w:rPr>
          <w:rFonts w:ascii="Times New Roman" w:hAnsi="Times New Roman" w:cs="Times New Roman"/>
          <w:sz w:val="21"/>
          <w:szCs w:val="21"/>
        </w:rPr>
        <w:t>held, because the “Laws of the United States . . . [are] the supreme Law of the Land,”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state courts of appropriate jurisdiction must hear federal claims whenever a federal statute,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such as the Emergency Price Control Act, requires them to do so.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Hence, the Court’s textual argument is quite misguided. The majority focuses on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Clause’s specific attention to the point that “Judges in every State shall be bound.” That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language commands state judges to “apply federal law” in cases that they entertain, but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it is not the source of their duty to accept jurisdiction of federal claims that they would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prefer to ignore. Our opinions 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Testa</w:t>
      </w:r>
      <w:r w:rsidRPr="00EB3912">
        <w:rPr>
          <w:rFonts w:ascii="Times New Roman" w:hAnsi="Times New Roman" w:cs="Times New Roman"/>
          <w:sz w:val="21"/>
          <w:szCs w:val="21"/>
        </w:rPr>
        <w:t>, and earlier the Second Employers’ Liability Cases,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rested generally on the language of the Supremacy Clause, without any specific focus on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reference to judges. . . 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EB3912">
        <w:rPr>
          <w:rFonts w:ascii="Times New Roman" w:hAnsi="Times New Roman" w:cs="Times New Roman"/>
          <w:sz w:val="16"/>
          <w:szCs w:val="16"/>
        </w:rPr>
        <w:t xml:space="preserve">03 </w:t>
      </w:r>
      <w:proofErr w:type="spellStart"/>
      <w:r w:rsidRPr="00EB3912">
        <w:rPr>
          <w:rFonts w:ascii="Times New Roman" w:hAnsi="Times New Roman" w:cs="Times New Roman"/>
          <w:sz w:val="16"/>
          <w:szCs w:val="16"/>
        </w:rPr>
        <w:t>curtis</w:t>
      </w:r>
      <w:proofErr w:type="spellEnd"/>
      <w:r w:rsidRPr="00EB3912">
        <w:rPr>
          <w:rFonts w:ascii="Times New Roman" w:hAnsi="Times New Roman" w:cs="Times New Roman"/>
          <w:sz w:val="16"/>
          <w:szCs w:val="16"/>
        </w:rPr>
        <w:t xml:space="preserve"> 3e v1 cx2 11/10/10 10:10 AM Page 282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3 · LIMITS ON FEDERAL POWER 283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 xml:space="preserve">2. Our most recent treatment of the 2nd Amendment occurred in </w:t>
      </w:r>
      <w:r w:rsidRPr="00EB3912">
        <w:rPr>
          <w:rFonts w:ascii="Times New Roman" w:hAnsi="Times New Roman" w:cs="Times New Roman"/>
          <w:i/>
          <w:iCs/>
          <w:sz w:val="18"/>
          <w:szCs w:val="18"/>
        </w:rPr>
        <w:t>United States v. Miller</w:t>
      </w:r>
      <w:r w:rsidRPr="00EB3912">
        <w:rPr>
          <w:rFonts w:ascii="Times New Roman" w:hAnsi="Times New Roman" w:cs="Times New Roman"/>
          <w:sz w:val="18"/>
          <w:szCs w:val="18"/>
        </w:rPr>
        <w:t>, 307 U.S.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174 (1939), in which we reversed the District Court’s invalidation of the National Firearms Act, enacted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 xml:space="preserve">in 1934. In </w:t>
      </w:r>
      <w:r w:rsidRPr="00EB3912">
        <w:rPr>
          <w:rFonts w:ascii="Times New Roman" w:hAnsi="Times New Roman" w:cs="Times New Roman"/>
          <w:i/>
          <w:iCs/>
          <w:sz w:val="18"/>
          <w:szCs w:val="18"/>
        </w:rPr>
        <w:t>Miller</w:t>
      </w:r>
      <w:r w:rsidRPr="00EB3912">
        <w:rPr>
          <w:rFonts w:ascii="Times New Roman" w:hAnsi="Times New Roman" w:cs="Times New Roman"/>
          <w:sz w:val="18"/>
          <w:szCs w:val="18"/>
        </w:rPr>
        <w:t>, we determined that the 2nd Amendment did not guarantee a citizen’s right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to possess a sawed-off shotgun because that weapon had not been shown to be “ordinary military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equipment” that could “contribute to the common defense.” The Court did not, however, attempt to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define, or otherwise construe, the substantive right protected by the 2nd Amendment.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t>3. Marshaling an impressive array of historical evidence, a growing body of scholarly commentary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B3912">
        <w:rPr>
          <w:rFonts w:ascii="Times New Roman" w:hAnsi="Times New Roman" w:cs="Times New Roman"/>
          <w:sz w:val="18"/>
          <w:szCs w:val="18"/>
        </w:rPr>
        <w:lastRenderedPageBreak/>
        <w:t>indicates that the “right to keep and bear arms” is, as the Amendment’s text suggests, a personal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Even if the Court were correct in its suggestion that it was the reference to judges in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Supremacy Clause, rather than the central message of the entire Clause, that dictated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the result in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>Testa</w:t>
      </w:r>
      <w:r w:rsidRPr="00EB3912">
        <w:rPr>
          <w:rFonts w:ascii="Times New Roman" w:hAnsi="Times New Roman" w:cs="Times New Roman"/>
          <w:sz w:val="21"/>
          <w:szCs w:val="21"/>
        </w:rPr>
        <w:t xml:space="preserve">, the Court’s implied </w:t>
      </w:r>
      <w:proofErr w:type="spellStart"/>
      <w:r w:rsidRPr="00EB3912">
        <w:rPr>
          <w:rFonts w:ascii="Times New Roman" w:hAnsi="Times New Roman" w:cs="Times New Roman"/>
          <w:i/>
          <w:iCs/>
          <w:sz w:val="21"/>
          <w:szCs w:val="21"/>
        </w:rPr>
        <w:t>expressio</w:t>
      </w:r>
      <w:proofErr w:type="spellEnd"/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 </w:t>
      </w:r>
      <w:proofErr w:type="spellStart"/>
      <w:r w:rsidRPr="00EB3912">
        <w:rPr>
          <w:rFonts w:ascii="Times New Roman" w:hAnsi="Times New Roman" w:cs="Times New Roman"/>
          <w:i/>
          <w:iCs/>
          <w:sz w:val="21"/>
          <w:szCs w:val="21"/>
        </w:rPr>
        <w:t>unius</w:t>
      </w:r>
      <w:proofErr w:type="spellEnd"/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 </w:t>
      </w:r>
      <w:r w:rsidRPr="00EB3912">
        <w:rPr>
          <w:rFonts w:ascii="Times New Roman" w:hAnsi="Times New Roman" w:cs="Times New Roman"/>
          <w:sz w:val="21"/>
          <w:szCs w:val="21"/>
        </w:rPr>
        <w:t>argument that the Framers therefore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 xml:space="preserve">did </w:t>
      </w:r>
      <w:r w:rsidRPr="00EB3912">
        <w:rPr>
          <w:rFonts w:ascii="Times New Roman" w:hAnsi="Times New Roman" w:cs="Times New Roman"/>
          <w:i/>
          <w:iCs/>
          <w:sz w:val="21"/>
          <w:szCs w:val="21"/>
        </w:rPr>
        <w:t xml:space="preserve">not </w:t>
      </w:r>
      <w:r w:rsidRPr="00EB3912">
        <w:rPr>
          <w:rFonts w:ascii="Times New Roman" w:hAnsi="Times New Roman" w:cs="Times New Roman"/>
          <w:sz w:val="21"/>
          <w:szCs w:val="21"/>
        </w:rPr>
        <w:t>intend to permit the enlistment of other state officials is implausible. Throughout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our history judges, state as well as federal, have merited as much respect as executive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agents. The notion that the Framers would have had no reluctance to “press state judges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into federal service” against their will but would have regarded the imposition of a similar—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indeed, far lesser—burden on town constables as an intolerable affront to principles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of state sovereignty, can only be considered perverse. If such a distinction had been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contemplated by the learned and articulate men who fashioned the basic structure of our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government, surely some of them would have said so.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The provision of the Brady Act that crosses the Court’s newly defined constitutional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threshold is more comparable to a statute requiring local police officers to report the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identity of missing children to the Crime Control Center of the Department of Justice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than to an offensive federal command to a sovereign state. If Congress believes that such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 statute will benefit the people of the Nation, and serve the interests of cooperative federalism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better than an enlarged federal bureaucracy, we should respect both its policy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judgment and its appraisal of its constitutional power.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sz w:val="21"/>
          <w:szCs w:val="21"/>
        </w:rPr>
        <w:t>Accordingly, I respectfully dissent.</w:t>
      </w:r>
    </w:p>
    <w:p w:rsidR="00EB3912" w:rsidRPr="00EB3912" w:rsidRDefault="00EB3912" w:rsidP="00EB39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B3912">
        <w:rPr>
          <w:rFonts w:ascii="Times New Roman" w:hAnsi="Times New Roman" w:cs="Times New Roman"/>
          <w:b/>
          <w:bCs/>
          <w:sz w:val="21"/>
          <w:szCs w:val="21"/>
        </w:rPr>
        <w:t xml:space="preserve">Justice Souter, dissenting. </w:t>
      </w:r>
      <w:r w:rsidRPr="00EB3912">
        <w:rPr>
          <w:rFonts w:ascii="Times New Roman" w:hAnsi="Times New Roman" w:cs="Times New Roman"/>
          <w:sz w:val="21"/>
          <w:szCs w:val="21"/>
        </w:rPr>
        <w:t>[Omitted].</w:t>
      </w:r>
    </w:p>
    <w:p w:rsidR="005F75F5" w:rsidRPr="00EB3912" w:rsidRDefault="00EB3912" w:rsidP="00EB3912">
      <w:pPr>
        <w:rPr>
          <w:rFonts w:ascii="Times New Roman" w:hAnsi="Times New Roman" w:cs="Times New Roman"/>
        </w:rPr>
      </w:pPr>
      <w:r w:rsidRPr="00EB3912">
        <w:rPr>
          <w:rFonts w:ascii="Times New Roman" w:hAnsi="Times New Roman" w:cs="Times New Roman"/>
          <w:b/>
          <w:bCs/>
          <w:sz w:val="21"/>
          <w:szCs w:val="21"/>
        </w:rPr>
        <w:t xml:space="preserve">Justice Breyer, with whom Justice Stevens joins, dissenting. </w:t>
      </w:r>
      <w:r w:rsidRPr="00EB3912">
        <w:rPr>
          <w:rFonts w:ascii="Times New Roman" w:hAnsi="Times New Roman" w:cs="Times New Roman"/>
          <w:sz w:val="21"/>
          <w:szCs w:val="21"/>
        </w:rPr>
        <w:t>[Omitted].</w:t>
      </w:r>
    </w:p>
    <w:sectPr w:rsidR="005F75F5" w:rsidRPr="00EB39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26F"/>
    <w:rsid w:val="005F75F5"/>
    <w:rsid w:val="00B2145B"/>
    <w:rsid w:val="00B3140F"/>
    <w:rsid w:val="00CD126F"/>
    <w:rsid w:val="00EB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633F3"/>
  <w15:chartTrackingRefBased/>
  <w15:docId w15:val="{13513424-A628-473B-9249-E76862817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1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B31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5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4226</TotalTime>
  <Pages>1</Pages>
  <Words>6090</Words>
  <Characters>34714</Characters>
  <Application>Microsoft Office Word</Application>
  <DocSecurity>0</DocSecurity>
  <Lines>289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McCauslin, Nicholas I.</dc:creator>
  <cp:keywords/>
  <dc:description/>
  <cp:lastModifiedBy>McCauslin, Nicholas I.</cp:lastModifiedBy>
  <cp:revision>3</cp:revision>
  <dcterms:created xsi:type="dcterms:W3CDTF">2018-06-08T21:11:00Z</dcterms:created>
  <dcterms:modified xsi:type="dcterms:W3CDTF">2018-06-11T19:37:00Z</dcterms:modified>
</cp:coreProperties>
</file>