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7394">
        <w:rPr>
          <w:rFonts w:ascii="Times New Roman" w:hAnsi="Times New Roman" w:cs="Times New Roman"/>
          <w:b/>
          <w:sz w:val="24"/>
          <w:szCs w:val="24"/>
        </w:rPr>
        <w:t>Note Regarding BMW of North America v. Gore, and the use of the DPC to invalidate state economic regulation</w:t>
      </w:r>
    </w:p>
    <w:p w:rsid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Along with the (incorporated) Takings Clause, the Due Process Clause has been used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to invalidate state economic regulation in the narrow area of punitive damages. In BMW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of North America, Inc. v. Gore (1996), the Court struck down what it considered to be a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grossly excessive award of punitive damages as a violation of due process. The new BMW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that Gore purchased had a minor defect and was repainted before he bought it, but Gore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was not told of the repainting.</w:t>
      </w:r>
      <w:r w:rsidR="00D6151F">
        <w:rPr>
          <w:rFonts w:ascii="Times New Roman" w:hAnsi="Times New Roman" w:cs="Times New Roman"/>
          <w:sz w:val="24"/>
          <w:szCs w:val="24"/>
        </w:rPr>
        <w:t xml:space="preserve"> </w:t>
      </w:r>
      <w:r w:rsidRPr="00D17394">
        <w:rPr>
          <w:rFonts w:ascii="Times New Roman" w:hAnsi="Times New Roman" w:cs="Times New Roman"/>
          <w:sz w:val="24"/>
          <w:szCs w:val="24"/>
        </w:rPr>
        <w:t>When he discovered the facts, Gore sued BMW</w:t>
      </w:r>
      <w:r w:rsidR="00D6151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D17394">
        <w:rPr>
          <w:rFonts w:ascii="Times New Roman" w:hAnsi="Times New Roman" w:cs="Times New Roman"/>
          <w:sz w:val="24"/>
          <w:szCs w:val="24"/>
        </w:rPr>
        <w:t>and recovered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four thousand dollars in actual damages and four million dollars in punitive damages.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The Alabama Supreme Court reduced the punitive damages to two million dollars. The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Supreme Court, in a 5–4 opinion, held the award excessive as a violation of due process.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It concluded that the jury’s punitive damages verdict could not be supported by the fact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that similar conduct had occurred in other states. Alabama was limited to vindicating the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rights of its own citizens. The Court also said that due process requires fair notice, not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only that conduct could be punished, but also of the possible severity of the punishment.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Because the punishment was so grossly excessive, the Court held that BMW was denied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fair notice. The factors the Court considered in holding the verdict to be grossly excessive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included the Court’s judgment that BMW’s conduct was not reprehensible, the 500–1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ratio between the actual damages and the punitive damages, and the great difference between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the criminal penalty Alabama imposed for such conduct and the civil punishment</w:t>
      </w:r>
    </w:p>
    <w:p w:rsidR="00D17394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BMW received. The dissenters contended that the issues regarding punitive damages</w:t>
      </w:r>
    </w:p>
    <w:p w:rsidR="00D54CFF" w:rsidRPr="00D17394" w:rsidRDefault="00D17394" w:rsidP="00D173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7394">
        <w:rPr>
          <w:rFonts w:ascii="Times New Roman" w:hAnsi="Times New Roman" w:cs="Times New Roman"/>
          <w:sz w:val="24"/>
          <w:szCs w:val="24"/>
        </w:rPr>
        <w:t>should be left to the states.</w:t>
      </w:r>
    </w:p>
    <w:sectPr w:rsidR="00D54CFF" w:rsidRPr="00D17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394"/>
    <w:rsid w:val="00D17394"/>
    <w:rsid w:val="00D54CFF"/>
    <w:rsid w:val="00D6151F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40DD5"/>
  <w15:chartTrackingRefBased/>
  <w15:docId w15:val="{AD41AEF2-6C83-4968-BBAD-6F660BBB3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2</cp:revision>
  <dcterms:created xsi:type="dcterms:W3CDTF">2018-08-01T15:55:00Z</dcterms:created>
  <dcterms:modified xsi:type="dcterms:W3CDTF">2018-08-01T16:05:00Z</dcterms:modified>
</cp:coreProperties>
</file>