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30D7" w:rsidRPr="00A730D7" w:rsidRDefault="00A730D7" w:rsidP="00A730D7">
      <w:pPr>
        <w:spacing w:after="0" w:line="240" w:lineRule="auto"/>
        <w:jc w:val="center"/>
        <w:rPr>
          <w:rFonts w:ascii="Times New Roman" w:eastAsia="Times New Roman" w:hAnsi="Times New Roman" w:cs="Times New Roman"/>
          <w:sz w:val="24"/>
          <w:szCs w:val="24"/>
        </w:rPr>
      </w:pPr>
      <w:r w:rsidRPr="00A730D7">
        <w:rPr>
          <w:rFonts w:ascii="Times New Roman" w:eastAsia="Times New Roman" w:hAnsi="Times New Roman" w:cs="Times New Roman"/>
          <w:b/>
          <w:bCs/>
          <w:color w:val="000000"/>
          <w:sz w:val="24"/>
          <w:szCs w:val="24"/>
        </w:rPr>
        <w:t xml:space="preserve">In re </w:t>
      </w:r>
      <w:proofErr w:type="spellStart"/>
      <w:r w:rsidRPr="00A730D7">
        <w:rPr>
          <w:rFonts w:ascii="Times New Roman" w:eastAsia="Times New Roman" w:hAnsi="Times New Roman" w:cs="Times New Roman"/>
          <w:b/>
          <w:bCs/>
          <w:color w:val="000000"/>
          <w:sz w:val="24"/>
          <w:szCs w:val="24"/>
        </w:rPr>
        <w:t>Rahrer</w:t>
      </w:r>
      <w:proofErr w:type="spellEnd"/>
    </w:p>
    <w:p w:rsidR="00A730D7" w:rsidRPr="00A730D7" w:rsidRDefault="00A730D7" w:rsidP="00A730D7">
      <w:pPr>
        <w:spacing w:after="0" w:line="240" w:lineRule="auto"/>
        <w:jc w:val="center"/>
        <w:rPr>
          <w:rFonts w:ascii="Times New Roman" w:eastAsia="Times New Roman" w:hAnsi="Times New Roman" w:cs="Times New Roman"/>
          <w:sz w:val="24"/>
          <w:szCs w:val="24"/>
        </w:rPr>
      </w:pPr>
      <w:r w:rsidRPr="00A730D7">
        <w:rPr>
          <w:rFonts w:ascii="Times New Roman" w:eastAsia="Times New Roman" w:hAnsi="Times New Roman" w:cs="Times New Roman"/>
          <w:b/>
          <w:bCs/>
          <w:color w:val="000000"/>
          <w:sz w:val="24"/>
          <w:szCs w:val="24"/>
        </w:rPr>
        <w:t xml:space="preserve"> </w:t>
      </w:r>
      <w:r w:rsidRPr="00A730D7">
        <w:rPr>
          <w:rFonts w:ascii="Times New Roman" w:eastAsia="Times New Roman" w:hAnsi="Times New Roman" w:cs="Times New Roman"/>
          <w:color w:val="000000"/>
          <w:sz w:val="24"/>
          <w:szCs w:val="24"/>
        </w:rPr>
        <w:t>140 U.S. 545 (1891)</w:t>
      </w:r>
    </w:p>
    <w:p w:rsidR="00A730D7" w:rsidRPr="00A730D7" w:rsidRDefault="00A730D7" w:rsidP="00A730D7">
      <w:pPr>
        <w:spacing w:after="0" w:line="240" w:lineRule="auto"/>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 . . This was an application for a writ of habeas corpus made to the Circuit Court of the United States for the District of Kansas by Charles A.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 who alleged in his petition that he was illegally and wrongfully restrained of his liberty by [the] sheriff of Shawnee County, Kansas, in violation of the Constitution of the United States.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 xml:space="preserve">, as agent for a Missouri company, had received and sold liquor shipped to him in its original package from Missouri to Kansas. Prior precedent suggested that interstate transportation of liquor in its original package could be regulated by Congress, but was not subject to state laws until the packages were broken open.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 xml:space="preserve"> had apparently not broken open the original package. Kansas had a prohibition law, which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 xml:space="preserve"> was accused of violating.] .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The [1889] constitution of Kansas provides: “The manufacture and sale of intoxicating liquors shall be forever prohibited in this State, except for medical, scientific and mechanical purposes.” [The Kansas statute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 xml:space="preserve"> was accused of violating provided:</w:t>
      </w:r>
    </w:p>
    <w:p w:rsidR="00A730D7" w:rsidRDefault="00A730D7" w:rsidP="00A730D7">
      <w:pPr>
        <w:spacing w:after="0" w:line="240" w:lineRule="auto"/>
        <w:ind w:left="720" w:right="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Any person or persons who shall manufacture, sell, or barter any spirituous, malt, vinous, fermented, or other intoxicating liquors, shall be guilty of a misdemeanor, and punished as hereinafter provided: Provided, however, That such liquors may be sold for medical, scientific and mechanical purposes, as provided in this act. . . . ]</w:t>
      </w:r>
    </w:p>
    <w:p w:rsidR="00A730D7" w:rsidRPr="00A730D7" w:rsidRDefault="00A730D7" w:rsidP="00A730D7">
      <w:pPr>
        <w:spacing w:after="0" w:line="240" w:lineRule="auto"/>
        <w:ind w:left="720" w:right="720"/>
        <w:jc w:val="both"/>
        <w:rPr>
          <w:rFonts w:ascii="Times New Roman" w:eastAsia="Times New Roman" w:hAnsi="Times New Roman" w:cs="Times New Roman"/>
          <w:sz w:val="24"/>
          <w:szCs w:val="24"/>
        </w:rPr>
      </w:pP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On August 8, 1890, an act of Congress was approved, entitled “An act to limit the effect of the regulations of commerce between the several States and with foreign countries in certain cases,” which reads as follows: “That all fermented, distilled, or other intoxicating liquors or liquids transported into any State or Territory or remaining therein for use, consumption, sale or storage therein, shall upon arrival in such State or Territory be subject to the operation and effect of the laws of such State or Territory enacted in the exercise of its police powers, to the same extent and in the same manner as though such liquids or liquors had been produced in such State or Territory, and shall not be exempt therefrom by reason of being introduced therein in original packages or otherwise.”</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[The lower court dismissed the charges against </w:t>
      </w:r>
      <w:proofErr w:type="spellStart"/>
      <w:r w:rsidRPr="00A730D7">
        <w:rPr>
          <w:rFonts w:ascii="Times New Roman" w:eastAsia="Times New Roman" w:hAnsi="Times New Roman" w:cs="Times New Roman"/>
          <w:color w:val="000000"/>
          <w:sz w:val="24"/>
          <w:szCs w:val="24"/>
        </w:rPr>
        <w:t>Rahrer</w:t>
      </w:r>
      <w:proofErr w:type="spellEnd"/>
      <w:r w:rsidRPr="00A730D7">
        <w:rPr>
          <w:rFonts w:ascii="Times New Roman" w:eastAsia="Times New Roman" w:hAnsi="Times New Roman" w:cs="Times New Roman"/>
          <w:color w:val="000000"/>
          <w:sz w:val="24"/>
          <w:szCs w:val="24"/>
        </w:rPr>
        <w:t>.]</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w:t>
      </w:r>
      <w:r w:rsidRPr="00A730D7">
        <w:rPr>
          <w:rFonts w:ascii="Times New Roman" w:eastAsia="Times New Roman" w:hAnsi="Times New Roman" w:cs="Times New Roman"/>
          <w:b/>
          <w:bCs/>
          <w:color w:val="000000"/>
          <w:sz w:val="24"/>
          <w:szCs w:val="24"/>
        </w:rPr>
        <w:t>Mr. Chief Justice Fuller, after stating the case, delivered the opinion of the court.</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b/>
          <w:bCs/>
          <w:color w:val="000000"/>
          <w:sz w:val="24"/>
          <w:szCs w:val="24"/>
        </w:rPr>
        <w:t xml:space="preserve"> </w:t>
      </w:r>
      <w:r w:rsidRPr="00A730D7">
        <w:rPr>
          <w:rFonts w:ascii="Times New Roman" w:eastAsia="Times New Roman" w:hAnsi="Times New Roman" w:cs="Times New Roman"/>
          <w:color w:val="000000"/>
          <w:sz w:val="24"/>
          <w:szCs w:val="24"/>
        </w:rPr>
        <w:t xml:space="preserve">The power of the State to impose restraints and burdens upon persons and property in conservation and promotion of the public health, good order and prosperity, is a power originally and always belonging to the States, not surrendered by them to the general government nor directly restrained by the Constitution of the United States, and essentially exclusive. .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The power of Congress to regulate commerce among the several States, when the subjects of that power are national in their nature, is also exclusive.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The laws of Iowa under consideration in </w:t>
      </w:r>
      <w:r w:rsidRPr="00A730D7">
        <w:rPr>
          <w:rFonts w:ascii="Times New Roman" w:eastAsia="Times New Roman" w:hAnsi="Times New Roman" w:cs="Times New Roman"/>
          <w:i/>
          <w:iCs/>
          <w:color w:val="000000"/>
          <w:sz w:val="24"/>
          <w:szCs w:val="24"/>
        </w:rPr>
        <w:t xml:space="preserve">Bowman v. Railway Company </w:t>
      </w:r>
      <w:r w:rsidRPr="00A730D7">
        <w:rPr>
          <w:rFonts w:ascii="Times New Roman" w:eastAsia="Times New Roman" w:hAnsi="Times New Roman" w:cs="Times New Roman"/>
          <w:color w:val="000000"/>
          <w:sz w:val="24"/>
          <w:szCs w:val="24"/>
        </w:rPr>
        <w:t xml:space="preserve">(1888) and </w:t>
      </w:r>
      <w:proofErr w:type="spellStart"/>
      <w:r w:rsidRPr="00A730D7">
        <w:rPr>
          <w:rFonts w:ascii="Times New Roman" w:eastAsia="Times New Roman" w:hAnsi="Times New Roman" w:cs="Times New Roman"/>
          <w:i/>
          <w:iCs/>
          <w:color w:val="000000"/>
          <w:sz w:val="24"/>
          <w:szCs w:val="24"/>
        </w:rPr>
        <w:t>Leisy</w:t>
      </w:r>
      <w:proofErr w:type="spellEnd"/>
      <w:r w:rsidRPr="00A730D7">
        <w:rPr>
          <w:rFonts w:ascii="Times New Roman" w:eastAsia="Times New Roman" w:hAnsi="Times New Roman" w:cs="Times New Roman"/>
          <w:i/>
          <w:iCs/>
          <w:color w:val="000000"/>
          <w:sz w:val="24"/>
          <w:szCs w:val="24"/>
        </w:rPr>
        <w:t xml:space="preserve"> v. Hardin </w:t>
      </w:r>
      <w:r w:rsidRPr="00A730D7">
        <w:rPr>
          <w:rFonts w:ascii="Times New Roman" w:eastAsia="Times New Roman" w:hAnsi="Times New Roman" w:cs="Times New Roman"/>
          <w:color w:val="000000"/>
          <w:sz w:val="24"/>
          <w:szCs w:val="24"/>
        </w:rPr>
        <w:t>(1890) were enacted in the exercise of the police power of the State, and</w:t>
      </w:r>
      <w:r w:rsidR="000F2D03">
        <w:rPr>
          <w:rFonts w:ascii="Times New Roman" w:eastAsia="Times New Roman" w:hAnsi="Times New Roman" w:cs="Times New Roman"/>
          <w:color w:val="000000"/>
          <w:sz w:val="24"/>
          <w:szCs w:val="24"/>
        </w:rPr>
        <w:t xml:space="preserve"> </w:t>
      </w:r>
      <w:r w:rsidRPr="00A730D7">
        <w:rPr>
          <w:rFonts w:ascii="Times New Roman" w:eastAsia="Times New Roman" w:hAnsi="Times New Roman" w:cs="Times New Roman"/>
          <w:color w:val="000000"/>
          <w:sz w:val="24"/>
          <w:szCs w:val="24"/>
        </w:rPr>
        <w:t xml:space="preserve">not at all as regulations of commerce with foreign nations and among the States, but as they inhibited the receipt of an imported commodity, or its disposition before it had ceased to become an article of trade between one State and another, or another country and this, they amounted in effect to a regulation of such commerce. Hence, it was held that inasmuch as interstate commerce, consisting in the transportation, purchase, sale and exchange of commodities, is national in its character and must be governed by a uniform system, so long as Congress did not pass any law to regulate it specifically, or in such way as to allow the laws of the State to operate upon it, Congress thereby </w:t>
      </w:r>
      <w:r w:rsidRPr="00A730D7">
        <w:rPr>
          <w:rFonts w:ascii="Times New Roman" w:eastAsia="Times New Roman" w:hAnsi="Times New Roman" w:cs="Times New Roman"/>
          <w:color w:val="000000"/>
          <w:sz w:val="24"/>
          <w:szCs w:val="24"/>
        </w:rPr>
        <w:lastRenderedPageBreak/>
        <w:t xml:space="preserve">indicated its will that such commerce should be free and untrammeled, and therefore that the laws of Iowa, referred to, were inoperative, in so far as they amounted to regulations of foreign or interstate commerce, in inhibiting the reception of such articles within the State, or their sale upon arrival, in the form in which they were imported there from a foreign country or another State. It followed as a corollary, that when Congress acted at all, the result of its action must be to operate as a restraint upon that perfect freedom which its silence insured. .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Congress has now spoken, and declared that imported liquors or liquids shall, upon arrival in a State, fall within the category of domestic articles of a similar nature. Is the law open to constitutional objection?</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By the first clause of §10 of Article I of the Constitution, certain powers are enumerated which the States are forbidden to exercise in any event; and by clauses two and three, certain others, which may be exercised with the consent of Congress. As to those in the first class, Congress cannot relieve from the positive restriction imposed. As to those in the second, their exercise may be authorized; and they include the collection of the revenue from imposts and duties on imports and exports, by state enactments, subject to the revision and control of Congress; and a tonnage duty, to the exaction of which only the consent of Congress is required. Beyond this, Congress is not empowered to enable the State to go in this direction. Nor can Congress transfer legislative powers to a State nor sanction a state law in violation of the Constitution; and if it can adopt a state law as its own, it must be one that it would be competent for it to enact itself, and not a law passed in the exercise of the police power. </w:t>
      </w:r>
      <w:r w:rsidRPr="00A730D7">
        <w:rPr>
          <w:rFonts w:ascii="Times New Roman" w:eastAsia="Times New Roman" w:hAnsi="Times New Roman" w:cs="Times New Roman"/>
          <w:i/>
          <w:iCs/>
          <w:color w:val="000000"/>
          <w:sz w:val="24"/>
          <w:szCs w:val="24"/>
        </w:rPr>
        <w:t xml:space="preserve">Cooley v. Board of Wardens of Philadelphia </w:t>
      </w:r>
      <w:r w:rsidRPr="00A730D7">
        <w:rPr>
          <w:rFonts w:ascii="Times New Roman" w:eastAsia="Times New Roman" w:hAnsi="Times New Roman" w:cs="Times New Roman"/>
          <w:color w:val="000000"/>
          <w:sz w:val="24"/>
          <w:szCs w:val="24"/>
        </w:rPr>
        <w:t>(1852).</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It does not admit of argument that Congress can neither delegate its own powers nor enlarge those of a State. This being so, it is urged that the act of Congress cannot be sustained as a regulation of commerce, because the Constitution, in the matter of interstate commerce, operates ex proprio </w:t>
      </w:r>
      <w:proofErr w:type="spellStart"/>
      <w:r w:rsidRPr="00A730D7">
        <w:rPr>
          <w:rFonts w:ascii="Times New Roman" w:eastAsia="Times New Roman" w:hAnsi="Times New Roman" w:cs="Times New Roman"/>
          <w:color w:val="000000"/>
          <w:sz w:val="24"/>
          <w:szCs w:val="24"/>
        </w:rPr>
        <w:t>vigore</w:t>
      </w:r>
      <w:proofErr w:type="spellEnd"/>
      <w:r w:rsidRPr="00A730D7">
        <w:rPr>
          <w:rFonts w:ascii="Times New Roman" w:eastAsia="Times New Roman" w:hAnsi="Times New Roman" w:cs="Times New Roman"/>
          <w:color w:val="000000"/>
          <w:sz w:val="24"/>
          <w:szCs w:val="24"/>
        </w:rPr>
        <w:t xml:space="preserve"> as a restraint upon the power of Congress to so regulate it as to bring any of its subjects within the grasp of the police power of the State. In other words, it is earnestly contended that the Constitution guarantees freedom of commerce among the States in all things, and that not only may intoxicating liquors be imported from one State into another, without being subject to regulation under the laws of the latter, but that Congress is powerless to obviate that result. b</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Thus the grant to the general government of a power designed to prevent embarrassing restrictions upon interstate commerce by any State, would be made to forbid any restraint whatever. We do not concur in this view. In surrendering their own power over external commerce the States did not secure absolute </w:t>
      </w:r>
      <w:proofErr w:type="spellStart"/>
      <w:r w:rsidRPr="00A730D7">
        <w:rPr>
          <w:rFonts w:ascii="Times New Roman" w:eastAsia="Times New Roman" w:hAnsi="Times New Roman" w:cs="Times New Roman"/>
          <w:color w:val="000000"/>
          <w:sz w:val="24"/>
          <w:szCs w:val="24"/>
        </w:rPr>
        <w:t>freedomin</w:t>
      </w:r>
      <w:proofErr w:type="spellEnd"/>
      <w:r w:rsidRPr="00A730D7">
        <w:rPr>
          <w:rFonts w:ascii="Times New Roman" w:eastAsia="Times New Roman" w:hAnsi="Times New Roman" w:cs="Times New Roman"/>
          <w:color w:val="000000"/>
          <w:sz w:val="24"/>
          <w:szCs w:val="24"/>
        </w:rPr>
        <w:t xml:space="preserve"> such commerce, but only the protection from encroachment afforded by confiding its regulation exclusively to Congress.</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By the adoption of the Constitution the ability of the several States to act upon the matter solely in accordance with their own will was extinguished, and the legislative will of the general government substituted. No affirmative guaranty was thereby given to any State of the right to demand as between it and the others what it could not have obtained </w:t>
      </w:r>
      <w:bookmarkStart w:id="0" w:name="_GoBack"/>
      <w:bookmarkEnd w:id="0"/>
      <w:r w:rsidRPr="00A730D7">
        <w:rPr>
          <w:rFonts w:ascii="Times New Roman" w:eastAsia="Times New Roman" w:hAnsi="Times New Roman" w:cs="Times New Roman"/>
          <w:color w:val="000000"/>
          <w:sz w:val="24"/>
          <w:szCs w:val="24"/>
        </w:rPr>
        <w:t xml:space="preserve">before; while the object was undoubtedly sought to be attained of preventing commercial regulations partial in their character or contrary to the common interests. And the magnificent growth and prosperity of the country attest the success which has attended the accomplishment of that object. But this furnishes no support to the position that Congress could not, in the exercise of the discretion reposed in it, concluding that the common interests did not require entire freedom in the traffic in ardent spirits, enact the law in question. In so doing Congress has not attempted to delegate the power to regulate commerce, or to exercise any power reserved to the States, or to grant a power not possessed by the States, or to adopt state laws. It has taken its own course and made its own regulation, applying </w:t>
      </w:r>
      <w:r w:rsidRPr="00A730D7">
        <w:rPr>
          <w:rFonts w:ascii="Times New Roman" w:eastAsia="Times New Roman" w:hAnsi="Times New Roman" w:cs="Times New Roman"/>
          <w:color w:val="000000"/>
          <w:sz w:val="24"/>
          <w:szCs w:val="24"/>
        </w:rPr>
        <w:lastRenderedPageBreak/>
        <w:t>to these subjects of interstate commerce one common rule, whose uniformity is not affected by variations in state laws in dealing with such property.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No reason is perceived why, if Congress chooses to provide that certain designated subjects of interstate commerce shall be governed by a rule which divests them of that character at an earlier period of time than would otherwise be the case, it is not within its competency to do so.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The differences of opinion which have existed in this tribunal </w:t>
      </w:r>
      <w:proofErr w:type="spellStart"/>
      <w:r w:rsidRPr="00A730D7">
        <w:rPr>
          <w:rFonts w:ascii="Times New Roman" w:eastAsia="Times New Roman" w:hAnsi="Times New Roman" w:cs="Times New Roman"/>
          <w:color w:val="000000"/>
          <w:sz w:val="24"/>
          <w:szCs w:val="24"/>
        </w:rPr>
        <w:t>inmany</w:t>
      </w:r>
      <w:proofErr w:type="spellEnd"/>
      <w:r w:rsidRPr="00A730D7">
        <w:rPr>
          <w:rFonts w:ascii="Times New Roman" w:eastAsia="Times New Roman" w:hAnsi="Times New Roman" w:cs="Times New Roman"/>
          <w:color w:val="000000"/>
          <w:sz w:val="24"/>
          <w:szCs w:val="24"/>
        </w:rPr>
        <w:t xml:space="preserve"> leading cases upon this subject, have arisen, not from a denial of the power of Congress, when exercised, but upon the question whether the inaction of Congress was in itself equivalent to the affirmative interposition of a bar to the operation of an undisputed power possessed by the States.</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We recall no decision giving color to the idea that, when Congress acted, its action would be less potent than when it kept silent.</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The framers of the Constitution never intended that the legislative power of the nation should find itself incapable of disposing of a subject matter specifically committed to its charge. The manner of that disposition brought into determination upon this record involves no ground for adjudging the act of Congress inoperative and void.</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We inquire then whether fermented, distilled, or other intoxicating liquors or liquids transported into the State of Kansas, and there offered for sale and sold, after the passage of the act, became subject to the operation and effect of the existing laws of that State in reference to such articles. .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Congress did not use terms of permission to the State to act, but simply removed an impediment to the enforcement of the state laws in respect to imported packages in their original condition, created by the absence of a specific utterance on its part. It imparted no power to the State not then possessed, but allowed imported property to fall at once upon arrival within the local jurisdiction. . . .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Jurisdiction attached, not in virtue of the law of Congress, but because the effect of the latter was to place the property where jurisdiction could attach.</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color w:val="000000"/>
          <w:sz w:val="24"/>
          <w:szCs w:val="24"/>
        </w:rPr>
        <w:t xml:space="preserve"> The decree is reversed, and the cause remanded for further proceedings in conformity with this opinion. </w:t>
      </w:r>
    </w:p>
    <w:p w:rsidR="00A730D7" w:rsidRPr="00A730D7" w:rsidRDefault="00A730D7" w:rsidP="00A730D7">
      <w:pPr>
        <w:spacing w:after="0" w:line="240" w:lineRule="auto"/>
        <w:ind w:firstLine="720"/>
        <w:jc w:val="both"/>
        <w:rPr>
          <w:rFonts w:ascii="Times New Roman" w:eastAsia="Times New Roman" w:hAnsi="Times New Roman" w:cs="Times New Roman"/>
          <w:sz w:val="24"/>
          <w:szCs w:val="24"/>
        </w:rPr>
      </w:pPr>
      <w:r w:rsidRPr="00A730D7">
        <w:rPr>
          <w:rFonts w:ascii="Times New Roman" w:eastAsia="Times New Roman" w:hAnsi="Times New Roman" w:cs="Times New Roman"/>
          <w:b/>
          <w:bCs/>
          <w:color w:val="000000"/>
          <w:sz w:val="24"/>
          <w:szCs w:val="24"/>
        </w:rPr>
        <w:t>[Harlan, Gray and Brewer. JJ., concurred in the judgment.]</w:t>
      </w:r>
    </w:p>
    <w:p w:rsidR="005F75F5" w:rsidRPr="00A730D7" w:rsidRDefault="005F75F5">
      <w:pPr>
        <w:rPr>
          <w:rFonts w:ascii="Times New Roman" w:hAnsi="Times New Roman" w:cs="Times New Roman"/>
          <w:sz w:val="24"/>
          <w:szCs w:val="24"/>
        </w:rPr>
      </w:pPr>
    </w:p>
    <w:sectPr w:rsidR="005F75F5" w:rsidRPr="00A730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D7"/>
    <w:rsid w:val="000F2D03"/>
    <w:rsid w:val="005F75F5"/>
    <w:rsid w:val="00A73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00EAA"/>
  <w15:chartTrackingRefBased/>
  <w15:docId w15:val="{4034288C-7827-4108-9EA9-4B72BA3D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30D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79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1541</Words>
  <Characters>8786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2</cp:revision>
  <dcterms:created xsi:type="dcterms:W3CDTF">2018-06-08T20:25:00Z</dcterms:created>
  <dcterms:modified xsi:type="dcterms:W3CDTF">2018-06-08T20:30:00Z</dcterms:modified>
</cp:coreProperties>
</file>