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78C5" w:rsidRDefault="003678C5" w:rsidP="003678C5">
      <w:pPr>
        <w:pStyle w:val="NormalWeb"/>
        <w:spacing w:before="0" w:beforeAutospacing="0" w:after="0" w:afterAutospacing="0"/>
        <w:ind w:firstLine="720"/>
        <w:jc w:val="center"/>
      </w:pPr>
      <w:bookmarkStart w:id="0" w:name="_GoBack"/>
      <w:r>
        <w:rPr>
          <w:b/>
          <w:bCs/>
          <w:color w:val="000000"/>
        </w:rPr>
        <w:t>Granholm v. Heald</w:t>
      </w:r>
      <w:r>
        <w:rPr>
          <w:color w:val="000000"/>
        </w:rPr>
        <w:t xml:space="preserve"> </w:t>
      </w:r>
    </w:p>
    <w:bookmarkEnd w:id="0"/>
    <w:p w:rsidR="003678C5" w:rsidRDefault="003678C5" w:rsidP="003678C5">
      <w:pPr>
        <w:pStyle w:val="NormalWeb"/>
        <w:spacing w:before="0" w:beforeAutospacing="0" w:after="0" w:afterAutospacing="0"/>
        <w:ind w:firstLine="720"/>
        <w:jc w:val="center"/>
      </w:pPr>
      <w:r>
        <w:rPr>
          <w:color w:val="000000"/>
        </w:rPr>
        <w:t>544 U.S. 460 (2005)</w:t>
      </w:r>
    </w:p>
    <w:p w:rsidR="003678C5" w:rsidRDefault="003678C5" w:rsidP="003678C5">
      <w:pPr>
        <w:pStyle w:val="NormalWeb"/>
        <w:spacing w:before="0" w:beforeAutospacing="0" w:after="0" w:afterAutospacing="0"/>
        <w:ind w:firstLine="720"/>
        <w:jc w:val="both"/>
      </w:pPr>
      <w:r>
        <w:rPr>
          <w:color w:val="000000"/>
        </w:rPr>
        <w:t xml:space="preserve"> [Majority: Kennedy, Scalia, Souter, Ginsburg, and Breyer. Dissenting: Stevens, O’- Connor, Thomas, and Rehnquist, (C.J.)] </w:t>
      </w:r>
    </w:p>
    <w:p w:rsidR="003678C5" w:rsidRDefault="003678C5" w:rsidP="003678C5">
      <w:pPr>
        <w:pStyle w:val="NormalWeb"/>
        <w:spacing w:before="0" w:beforeAutospacing="0" w:after="0" w:afterAutospacing="0"/>
        <w:ind w:firstLine="720"/>
        <w:jc w:val="both"/>
      </w:pPr>
      <w:r>
        <w:rPr>
          <w:b/>
          <w:bCs/>
          <w:color w:val="000000"/>
        </w:rPr>
        <w:t xml:space="preserve">Justice Kennedy delivered the opinion of the Court. </w:t>
      </w:r>
    </w:p>
    <w:p w:rsidR="003678C5" w:rsidRDefault="003678C5" w:rsidP="003678C5">
      <w:pPr>
        <w:pStyle w:val="NormalWeb"/>
        <w:spacing w:before="0" w:beforeAutospacing="0" w:after="0" w:afterAutospacing="0"/>
        <w:ind w:firstLine="720"/>
        <w:jc w:val="both"/>
      </w:pPr>
      <w:r>
        <w:rPr>
          <w:color w:val="000000"/>
        </w:rPr>
        <w:t xml:space="preserve">These consolidated cases present challenges to state laws regulating the sale of wine from out-of-state wineries to consumers in Michigan and New York. The details and mechanics of the two regulatory schemes differ, but the object and effect of the laws are the same: to allow in-state wineries to sell wine directly to consumers in that State but to prohibit out-of-state wineries from doing so, or, at the least, to make direct sales impractical from an economic standpoint. It is evident that the object and design of the Michigan and New York statutes is to grant in-state wineries a competitive advantage over wineries located beyond the States’ borders. </w:t>
      </w:r>
    </w:p>
    <w:p w:rsidR="003678C5" w:rsidRDefault="003678C5" w:rsidP="003678C5">
      <w:pPr>
        <w:pStyle w:val="NormalWeb"/>
        <w:spacing w:before="0" w:beforeAutospacing="0" w:after="0" w:afterAutospacing="0"/>
        <w:ind w:firstLine="720"/>
        <w:jc w:val="both"/>
      </w:pPr>
      <w:r>
        <w:rPr>
          <w:color w:val="000000"/>
        </w:rPr>
        <w:t xml:space="preserve">We hold that the laws in both States discriminate against interstate commerce in violation of the Commerce Clause, Art. I, §8, cl. 3, and that the discrimination is neither authorized nor permitted by the 21st Amendment. . . . </w:t>
      </w:r>
    </w:p>
    <w:p w:rsidR="003678C5" w:rsidRDefault="003678C5" w:rsidP="003678C5">
      <w:pPr>
        <w:pStyle w:val="NormalWeb"/>
        <w:spacing w:before="0" w:beforeAutospacing="0" w:after="0" w:afterAutospacing="0"/>
        <w:ind w:firstLine="720"/>
        <w:jc w:val="both"/>
      </w:pPr>
      <w:r>
        <w:rPr>
          <w:color w:val="000000"/>
        </w:rPr>
        <w:t xml:space="preserve">I. Like many other States, Michigan and New York regulate the sale and importation of alcoholic beverages, including wine, through a three-tier distribution system. Separate licenses are required for producers, wholesalers, and retailers. See FTC, Possible Anticompetitive Barriers to E-Commerce: Wine 5–7 (July 2003) (hereinafter FTC Report), available at http://www.ftc.gov/os/2003/07/winereport2.pdf (all Internet materials as visited May 11, 2005, and available in Clerk of Court’s case file). The three-tier scheme is preserved by a complex set of overlapping state and federal regulations. For example, both state and federal laws limit vertical integration between tiers. Id., at 5; 27 U. S. C. §205. We have held previously that States can mandate a three-tier distribution scheme in the exercise of their authority under the 21st Amendment. As relevant to today’s cases, though, the three-tier system is, in broad terms and with refinements to be discussed, mandated by Michigan and New York only for sales from out-of-state wineries. In-state wineries, by contrast, can obtain a license for direct sales to consumers. The differential treatment between in-state and out-of-state wineries constitutes explicit discrimination against interstate commerce. </w:t>
      </w:r>
    </w:p>
    <w:p w:rsidR="003678C5" w:rsidRDefault="003678C5" w:rsidP="003678C5">
      <w:pPr>
        <w:pStyle w:val="NormalWeb"/>
        <w:spacing w:before="0" w:beforeAutospacing="0" w:after="0" w:afterAutospacing="0"/>
        <w:ind w:firstLine="720"/>
        <w:jc w:val="both"/>
      </w:pPr>
      <w:r>
        <w:rPr>
          <w:color w:val="000000"/>
        </w:rPr>
        <w:t>This discrimination substantially limits the direct sale of wine to consumers, an otherwise emerging and significant business. FTC Report 7. From 1994 to 1999, consumer spending on direct wine shipments doubled, reaching $500 million per year, or three percent of all wine sales. Id., at 5. The expansion has been influenced by several related trends. First, the number of small wineries in the United States has significantly increased. By some estimates there are over 3,000 wineries in the country, more than three times the number 30 years ago, FTC Report 6. At the same time, the wholesale market has consolidated. Between 1984 and 2002, the number of licensed wholesalers dropped from 1,600. available at http://www.cato.org/pubs/regulation/regv27n3/v27n3-3.pdf. The increasing winery-to-wholesaler ratio means that many small wineries do not produce enough wine or have sufficient consumer demand for their wine to make it economical for wholesalers to carry their products. FTC Report 6. This has led many small wineries to rely on direct shipping to reach new markets. Technological improvements, in particular the ability of wineries to sell wine over the Internet, have helped make direct shipments an attractive sales channel. . . .</w:t>
      </w:r>
    </w:p>
    <w:p w:rsidR="003678C5" w:rsidRDefault="003678C5" w:rsidP="003678C5">
      <w:pPr>
        <w:pStyle w:val="NormalWeb"/>
        <w:spacing w:before="0" w:beforeAutospacing="0" w:after="0" w:afterAutospacing="0"/>
        <w:ind w:firstLine="720"/>
        <w:jc w:val="both"/>
      </w:pPr>
      <w:r>
        <w:rPr>
          <w:color w:val="000000"/>
        </w:rPr>
        <w:t xml:space="preserve"> The wine producers in the cases before us are small wineries that rely on direct consumer sales as an important part of their businesses. Domaine Alfred, one of the plaintiffs in the Michigan suit, is a small winery located in San Luis Obispo, California. It produces 3,000 cases of wine per </w:t>
      </w:r>
      <w:r>
        <w:rPr>
          <w:color w:val="000000"/>
        </w:rPr>
        <w:lastRenderedPageBreak/>
        <w:t xml:space="preserve">year. Domaine Alfred has received requests for its wine from Michigan consumers but cannot fill the orders because of the State’s direct-shipment ban. Even if the winery could find </w:t>
      </w:r>
      <w:proofErr w:type="spellStart"/>
      <w:r>
        <w:rPr>
          <w:color w:val="000000"/>
        </w:rPr>
        <w:t>aMichigan</w:t>
      </w:r>
      <w:proofErr w:type="spellEnd"/>
      <w:r>
        <w:rPr>
          <w:color w:val="000000"/>
        </w:rPr>
        <w:t xml:space="preserve"> wholesaler to distribute its wine, the wholesaler’s markup would render shipment through the three-tier system economically infeasible.</w:t>
      </w:r>
    </w:p>
    <w:p w:rsidR="003678C5" w:rsidRDefault="003678C5" w:rsidP="003678C5">
      <w:pPr>
        <w:pStyle w:val="NormalWeb"/>
        <w:spacing w:before="0" w:beforeAutospacing="0" w:after="0" w:afterAutospacing="0"/>
        <w:ind w:firstLine="720"/>
        <w:jc w:val="both"/>
      </w:pPr>
      <w:r>
        <w:rPr>
          <w:color w:val="000000"/>
        </w:rPr>
        <w:t xml:space="preserve"> Similarly, Juanita </w:t>
      </w:r>
      <w:proofErr w:type="spellStart"/>
      <w:r>
        <w:rPr>
          <w:color w:val="000000"/>
        </w:rPr>
        <w:t>Swedenburg</w:t>
      </w:r>
      <w:proofErr w:type="spellEnd"/>
      <w:r>
        <w:rPr>
          <w:color w:val="000000"/>
        </w:rPr>
        <w:t xml:space="preserve"> and David Lucas, two of the plaintiffs in the New York suit, operate small wineries in Virginia (the </w:t>
      </w:r>
      <w:proofErr w:type="spellStart"/>
      <w:r>
        <w:rPr>
          <w:color w:val="000000"/>
        </w:rPr>
        <w:t>Swedenburg</w:t>
      </w:r>
      <w:proofErr w:type="spellEnd"/>
      <w:r>
        <w:rPr>
          <w:color w:val="000000"/>
        </w:rPr>
        <w:t xml:space="preserve"> Estate Vineyard) and California (the </w:t>
      </w:r>
      <w:proofErr w:type="spellStart"/>
      <w:r>
        <w:rPr>
          <w:color w:val="000000"/>
        </w:rPr>
        <w:t>LucasWinery</w:t>
      </w:r>
      <w:proofErr w:type="spellEnd"/>
      <w:r>
        <w:rPr>
          <w:color w:val="000000"/>
        </w:rPr>
        <w:t xml:space="preserve">). Some of their customers are tourists, from other States, who purchase wine while visiting the wineries. If these customers wish to obtain </w:t>
      </w:r>
      <w:proofErr w:type="spellStart"/>
      <w:r>
        <w:rPr>
          <w:color w:val="000000"/>
        </w:rPr>
        <w:t>Swedenburg</w:t>
      </w:r>
      <w:proofErr w:type="spellEnd"/>
      <w:r>
        <w:rPr>
          <w:color w:val="000000"/>
        </w:rPr>
        <w:t xml:space="preserve"> or Lucas wines after they return home, they will be unable to do so if they reside in a State with restrictive direct-shipment laws. For example, </w:t>
      </w:r>
      <w:proofErr w:type="spellStart"/>
      <w:r>
        <w:rPr>
          <w:color w:val="000000"/>
        </w:rPr>
        <w:t>Swedenburg</w:t>
      </w:r>
      <w:proofErr w:type="spellEnd"/>
      <w:r>
        <w:rPr>
          <w:color w:val="000000"/>
        </w:rPr>
        <w:t xml:space="preserve"> and Lucas are unable to fill orders from New York, the Nation’s second-largest wine market, because of the limits that State imposes on direct wine shipments. . . .</w:t>
      </w:r>
    </w:p>
    <w:p w:rsidR="003678C5" w:rsidRDefault="003678C5" w:rsidP="003678C5">
      <w:pPr>
        <w:pStyle w:val="NormalWeb"/>
        <w:spacing w:before="0" w:beforeAutospacing="0" w:after="0" w:afterAutospacing="0"/>
        <w:ind w:firstLine="720"/>
        <w:jc w:val="both"/>
      </w:pPr>
      <w:r>
        <w:rPr>
          <w:color w:val="000000"/>
        </w:rPr>
        <w:t xml:space="preserve"> II-A. Time and again this Court has held that, in all but the narrowest circumstances, state laws violate the Commerce Clause if they mandate “differential treatment of in-state and out-of-state economic interests that benefits the former and burdens the latter.” Oregon Waste Systems, Inc. v. Department of Environmental Quality of Ore. (1994). See also New Energy Co. of Ind. v. Limbach (1988). This rule is essential to the foundations of the Union. The mere fact of </w:t>
      </w:r>
      <w:proofErr w:type="spellStart"/>
      <w:r>
        <w:rPr>
          <w:color w:val="000000"/>
        </w:rPr>
        <w:t>nonresidence</w:t>
      </w:r>
      <w:proofErr w:type="spellEnd"/>
      <w:r>
        <w:rPr>
          <w:color w:val="000000"/>
        </w:rPr>
        <w:t xml:space="preserve"> should not foreclose a producer in one State from access to markets in other States. States may not enact laws that burden out-of-state producers or shippers simply to give a competitive advantage to in-state businesses. This mandate “reflect[s] a central concern of the Framers that was an immediate reason for calling the Constitutional Convention: the conviction that in order to succeed, the new Union would have to avoid the tendencies toward economic Balkanization that had plagued relations among the Colonies and later among the States under the Articles of Confederation.” Hughes v. Oklahoma (1979).</w:t>
      </w:r>
    </w:p>
    <w:p w:rsidR="003678C5" w:rsidRDefault="003678C5" w:rsidP="003678C5">
      <w:pPr>
        <w:pStyle w:val="NormalWeb"/>
        <w:spacing w:before="0" w:beforeAutospacing="0" w:after="0" w:afterAutospacing="0"/>
        <w:ind w:firstLine="720"/>
        <w:jc w:val="both"/>
      </w:pPr>
      <w:r>
        <w:rPr>
          <w:color w:val="000000"/>
        </w:rPr>
        <w:t xml:space="preserve"> The rule prohibiting state discrimination against interstate commerce follows also from the principle that States should not be compelled to negotiate with each other regarding favored or disfavored status for their own citizens. States do not need, and may not attempt, to negotiate with other States regarding their mutual economic interests. Cf. U. S. Const., Art. I, §10, cl. 3. Rivalries among the States are thus kept to a minimum, and a proliferation of trade zones is prevented.</w:t>
      </w:r>
    </w:p>
    <w:p w:rsidR="003678C5" w:rsidRDefault="003678C5" w:rsidP="003678C5">
      <w:pPr>
        <w:pStyle w:val="NormalWeb"/>
        <w:spacing w:before="0" w:beforeAutospacing="0" w:after="0" w:afterAutospacing="0"/>
        <w:ind w:firstLine="720"/>
        <w:jc w:val="both"/>
      </w:pPr>
      <w:r>
        <w:rPr>
          <w:color w:val="000000"/>
        </w:rPr>
        <w:t xml:space="preserve"> Laws of the type at issue in the instant cases contradict these principles. They deprive citizens of their right to have access to the markets of other States on equal terms. The perceived necessity for reciprocal sale privileges risks generating the trade rivalries and animosities, the alliances and exclusivity, that the Constitution and, in particular, the Commerce Clause were designed to avoid. State laws that protect local wineries have led to the enactment of statutes under which some States condition the right of out-of-state wineries to make direct wine sales to in-state consumers on a reciprocal right in the shipping State. California, for example, passed a reciprocity law in 1986, retreating from the State’s previous regime that allowed unfettered direct shipments from out-of-state wineries. Prior to 1986, all but three States prohibited direct-shipments of wine. The obvious aim of the California statute was to open the interstate direct-shipping market for the State’s many wineries. The current patchwork of laws—with some States banning direct shipments altogether, others doing so only for out-of-state wines, and still others requiring reciprocity—is essentially the product of an ongoing, low-level trade war. Allowing States to discriminate against out-of-state wine “invite[s] a multiplication of preferential trade areas destructive of the very purpose of the Commerce Clause.” Dean Milk Co. v. Madison (1951).</w:t>
      </w:r>
    </w:p>
    <w:p w:rsidR="003678C5" w:rsidRDefault="003678C5" w:rsidP="003678C5">
      <w:pPr>
        <w:pStyle w:val="NormalWeb"/>
        <w:spacing w:before="0" w:beforeAutospacing="0" w:after="0" w:afterAutospacing="0"/>
        <w:ind w:firstLine="720"/>
        <w:jc w:val="both"/>
      </w:pPr>
      <w:r>
        <w:rPr>
          <w:color w:val="000000"/>
        </w:rPr>
        <w:t xml:space="preserve"> II-B. The discriminatory character of the Michigan system is obvious. Michigan allows in-state wineries to ship directly to consumers, subject only to a licensing requirement. Out-of-</w:t>
      </w:r>
      <w:r>
        <w:rPr>
          <w:color w:val="000000"/>
        </w:rPr>
        <w:lastRenderedPageBreak/>
        <w:t>state wineries, whether licensed or not, face a complete ban on direct shipment. The differential treatment requires all out-of-state wine, but not all in-state wine, to pass through an in-state wholesaler and retailer before reaching consumers. These two extra layers of overhead increase the cost of out-of-state wines to Michigan consumers. The cost differential, and in some cases the inability to secure a wholesaler for small shipments, can effectively bar small wineries from the Michigan market.</w:t>
      </w:r>
    </w:p>
    <w:p w:rsidR="003678C5" w:rsidRDefault="003678C5" w:rsidP="003678C5">
      <w:pPr>
        <w:pStyle w:val="NormalWeb"/>
        <w:spacing w:before="0" w:beforeAutospacing="0" w:after="0" w:afterAutospacing="0"/>
        <w:ind w:firstLine="720"/>
        <w:jc w:val="both"/>
      </w:pPr>
      <w:r>
        <w:rPr>
          <w:color w:val="000000"/>
        </w:rPr>
        <w:t xml:space="preserve"> The New York regulatory scheme differs </w:t>
      </w:r>
      <w:proofErr w:type="spellStart"/>
      <w:r>
        <w:rPr>
          <w:color w:val="000000"/>
        </w:rPr>
        <w:t>fromMichigan’s</w:t>
      </w:r>
      <w:proofErr w:type="spellEnd"/>
      <w:r>
        <w:rPr>
          <w:color w:val="000000"/>
        </w:rPr>
        <w:t xml:space="preserve"> in that it does not ban direct shipments altogether. Out-of-state wineries are instead required to establish a distribution operation in New York in order to gain the privilege of direct shipment. This, though, is just an indirect way of subjecting out-of-state wineries, but not local ones, to the </w:t>
      </w:r>
      <w:proofErr w:type="spellStart"/>
      <w:r>
        <w:rPr>
          <w:color w:val="000000"/>
        </w:rPr>
        <w:t>threetier</w:t>
      </w:r>
      <w:proofErr w:type="spellEnd"/>
      <w:r>
        <w:rPr>
          <w:color w:val="000000"/>
        </w:rPr>
        <w:t xml:space="preserve"> system. New York and those allied with its interests defend the scheme by arguing that an out-of-state winery has the same access to the State’s consumers as in-state wineries: All wine must be sold through a licensee fully accountable to New York; it just so happens that in order to become a licensee, a winery must have a physical presence in the State. There is some confusion over the precise steps out-of-state wineries must take to gain access to the New York market, in part because no winery has run the State’s regulatory gauntlet. New York’s argument, in any event, is unconvincing. </w:t>
      </w:r>
    </w:p>
    <w:p w:rsidR="003678C5" w:rsidRDefault="003678C5" w:rsidP="003678C5">
      <w:pPr>
        <w:pStyle w:val="NormalWeb"/>
        <w:spacing w:before="0" w:beforeAutospacing="0" w:after="0" w:afterAutospacing="0"/>
        <w:ind w:firstLine="720"/>
        <w:jc w:val="both"/>
      </w:pPr>
      <w:r>
        <w:rPr>
          <w:color w:val="000000"/>
        </w:rPr>
        <w:t>The New York scheme grants in-state wineries access to the State’s consumers on preferential terms. The suggestion of a limited exception for direct shipment from out-</w:t>
      </w:r>
      <w:proofErr w:type="spellStart"/>
      <w:r>
        <w:rPr>
          <w:color w:val="000000"/>
        </w:rPr>
        <w:t>ofstate</w:t>
      </w:r>
      <w:proofErr w:type="spellEnd"/>
      <w:r>
        <w:rPr>
          <w:color w:val="000000"/>
        </w:rPr>
        <w:t xml:space="preserve"> wineries does nothing to eliminate the discriminatory nature of </w:t>
      </w:r>
      <w:proofErr w:type="spellStart"/>
      <w:r>
        <w:rPr>
          <w:color w:val="000000"/>
        </w:rPr>
        <w:t>NewYork’s</w:t>
      </w:r>
      <w:proofErr w:type="spellEnd"/>
      <w:r>
        <w:rPr>
          <w:color w:val="000000"/>
        </w:rPr>
        <w:t xml:space="preserve"> regulations. In-state producers, with the applicable licenses, can ship directly to consumers from their wineries. Out-of-state wineries must open a branch office and warehouse in New York, additional steps that drive up the cost of their wine. . . .</w:t>
      </w:r>
    </w:p>
    <w:p w:rsidR="003678C5" w:rsidRDefault="003678C5" w:rsidP="003678C5">
      <w:pPr>
        <w:pStyle w:val="NormalWeb"/>
        <w:spacing w:before="0" w:beforeAutospacing="0" w:after="0" w:afterAutospacing="0"/>
        <w:ind w:firstLine="720"/>
        <w:jc w:val="both"/>
      </w:pPr>
      <w:r>
        <w:rPr>
          <w:color w:val="000000"/>
        </w:rPr>
        <w:t xml:space="preserve"> In addition to its restrictive in-state presence requirement, New York discriminates against out-of-state wineries in other ways. Out-of-state wineries that establish the requisite branch office and warehouse in New York are still ineligible for a “farm winery” license, the license that provides </w:t>
      </w:r>
      <w:proofErr w:type="spellStart"/>
      <w:r>
        <w:rPr>
          <w:color w:val="000000"/>
        </w:rPr>
        <w:t>themost</w:t>
      </w:r>
      <w:proofErr w:type="spellEnd"/>
      <w:r>
        <w:rPr>
          <w:color w:val="000000"/>
        </w:rPr>
        <w:t xml:space="preserve"> </w:t>
      </w:r>
      <w:proofErr w:type="spellStart"/>
      <w:r>
        <w:rPr>
          <w:color w:val="000000"/>
        </w:rPr>
        <w:t>directmeans</w:t>
      </w:r>
      <w:proofErr w:type="spellEnd"/>
      <w:r>
        <w:rPr>
          <w:color w:val="000000"/>
        </w:rPr>
        <w:t xml:space="preserve"> of shipping to </w:t>
      </w:r>
      <w:proofErr w:type="spellStart"/>
      <w:r>
        <w:rPr>
          <w:color w:val="000000"/>
        </w:rPr>
        <w:t>NewYork</w:t>
      </w:r>
      <w:proofErr w:type="spellEnd"/>
      <w:r>
        <w:rPr>
          <w:color w:val="000000"/>
        </w:rPr>
        <w:t xml:space="preserve"> consumers.... Out-of-state wineries may apply only for a commercial winery license. Unlike farm wineries, however, commercial wineries must obtain a separate certificate from the state liquor authority authorizing direct shipments to consumers; and, of course, for out-of-state wineries there is the additional requirement of maintaining a distribution operation in New York. New York law also allows in-state wineries without direct-shipping licenses to distribute their wine through other wineries that have the applicable licenses. This is another privilege not afforded out-of-state wineries. </w:t>
      </w:r>
    </w:p>
    <w:p w:rsidR="003678C5" w:rsidRDefault="003678C5" w:rsidP="003678C5">
      <w:pPr>
        <w:pStyle w:val="NormalWeb"/>
        <w:spacing w:before="0" w:beforeAutospacing="0" w:after="0" w:afterAutospacing="0"/>
        <w:ind w:firstLine="720"/>
        <w:jc w:val="both"/>
      </w:pPr>
      <w:r>
        <w:rPr>
          <w:color w:val="000000"/>
        </w:rPr>
        <w:t>We have no difficulty concluding that New York, like Michigan, discriminates against interstate commerce through its direct-shipping laws.</w:t>
      </w:r>
    </w:p>
    <w:p w:rsidR="003678C5" w:rsidRDefault="003678C5" w:rsidP="003678C5">
      <w:pPr>
        <w:pStyle w:val="NormalWeb"/>
        <w:spacing w:before="0" w:beforeAutospacing="0" w:after="0" w:afterAutospacing="0"/>
        <w:ind w:firstLine="720"/>
        <w:jc w:val="both"/>
      </w:pPr>
      <w:r>
        <w:rPr>
          <w:color w:val="000000"/>
        </w:rPr>
        <w:t xml:space="preserve"> III. State laws that discriminate against interstate commerce face “a virtually per se rule of invalidity.” Philadelphia v. New Jersey (1978). The Michigan and New York laws by their own terms violate this proscription. The two States, however, contend their statutes are saved by § 2 of the 21st Amendment, which provides: “The transportation or importation into any State, Territory, or possession of the United States for delivery or use therein of intoxicating liquors, in violation of the laws thereof, is hereby prohibited.” </w:t>
      </w:r>
    </w:p>
    <w:p w:rsidR="003678C5" w:rsidRDefault="003678C5" w:rsidP="003678C5">
      <w:pPr>
        <w:pStyle w:val="NormalWeb"/>
        <w:spacing w:before="0" w:beforeAutospacing="0" w:after="0" w:afterAutospacing="0"/>
        <w:ind w:firstLine="720"/>
        <w:jc w:val="both"/>
      </w:pPr>
      <w:r>
        <w:rPr>
          <w:color w:val="000000"/>
        </w:rPr>
        <w:t>The States’ position is inconsistent with our precedents and with the 21st Amendment’s history. Section 2 does not allow States to regulate the direct shipment of wine on terms that discriminate in favor of in-state producers. . . .</w:t>
      </w:r>
    </w:p>
    <w:p w:rsidR="003678C5" w:rsidRDefault="003678C5" w:rsidP="003678C5">
      <w:pPr>
        <w:pStyle w:val="NormalWeb"/>
        <w:spacing w:before="0" w:beforeAutospacing="0" w:after="0" w:afterAutospacing="0"/>
        <w:ind w:firstLine="720"/>
        <w:jc w:val="both"/>
      </w:pPr>
      <w:r>
        <w:rPr>
          <w:b/>
          <w:bCs/>
          <w:color w:val="000000"/>
        </w:rPr>
        <w:t xml:space="preserve"> Justice Stevens, with whom Justice O’Connor joins, dissenting.</w:t>
      </w:r>
    </w:p>
    <w:p w:rsidR="003678C5" w:rsidRDefault="003678C5" w:rsidP="003678C5">
      <w:pPr>
        <w:pStyle w:val="NormalWeb"/>
        <w:spacing w:before="0" w:beforeAutospacing="0" w:after="0" w:afterAutospacing="0"/>
        <w:ind w:firstLine="720"/>
        <w:jc w:val="both"/>
      </w:pPr>
      <w:r>
        <w:rPr>
          <w:color w:val="000000"/>
        </w:rPr>
        <w:t xml:space="preserve"> Congress’ power to regulate commerce among the States includes the power to authorize the States to place burdens on interstate commerce. Prudential Ins. Co. v. Benjamin (1946). Absent </w:t>
      </w:r>
      <w:r>
        <w:rPr>
          <w:color w:val="000000"/>
        </w:rPr>
        <w:lastRenderedPageBreak/>
        <w:t>such congressional approval, a state law may violate the unwritten rules described as the “Dormant Commerce Clause” either by imposing an undue burden on both out-</w:t>
      </w:r>
      <w:proofErr w:type="spellStart"/>
      <w:r>
        <w:rPr>
          <w:color w:val="000000"/>
        </w:rPr>
        <w:t>ofstate</w:t>
      </w:r>
      <w:proofErr w:type="spellEnd"/>
      <w:r>
        <w:rPr>
          <w:color w:val="000000"/>
        </w:rPr>
        <w:t xml:space="preserve"> and local producers engaged in interstate activities or by treating out-of-state producers less favorably than their local competitors. See, e.g., Pike v. Bruce Church, Inc. (1970); Philadelphia v. New Jersey (1978). A state law totally prohibiting the sale of an ordinary article of commerce might impose an even more serious burden on interstate commerce. If Congress may nevertheless authorize the States to enact such laws, surely the people may do so through the process of amending our Constitution. </w:t>
      </w:r>
    </w:p>
    <w:p w:rsidR="003678C5" w:rsidRDefault="003678C5" w:rsidP="003678C5">
      <w:pPr>
        <w:pStyle w:val="NormalWeb"/>
        <w:spacing w:before="0" w:beforeAutospacing="0" w:after="0" w:afterAutospacing="0"/>
        <w:ind w:firstLine="720"/>
        <w:jc w:val="both"/>
      </w:pPr>
      <w:r>
        <w:rPr>
          <w:color w:val="000000"/>
        </w:rPr>
        <w:t xml:space="preserve">The New York and Michigan laws challenged in these cases would be patently invalid under well settled Dormant Commerce Clause principles if they regulated sales of an ordinary article of commerce rather than wine. But ever since the adoption of the 18th Amendment and the 21st Amendment, our Constitution has placed commerce in alcoholic beverages in a special category. Section 2 of the 21st Amendment expressly provides that “[t]he transportation or importation into any State, Territory, or possession of the United States for delivery or use therein of intoxicating liquors, in violation of the laws thereof, is hereby prohibited.” </w:t>
      </w:r>
    </w:p>
    <w:p w:rsidR="003678C5" w:rsidRDefault="003678C5" w:rsidP="003678C5">
      <w:pPr>
        <w:pStyle w:val="NormalWeb"/>
        <w:spacing w:before="0" w:beforeAutospacing="0" w:after="0" w:afterAutospacing="0"/>
        <w:ind w:firstLine="720"/>
        <w:jc w:val="both"/>
      </w:pPr>
      <w:r>
        <w:rPr>
          <w:color w:val="000000"/>
        </w:rPr>
        <w:t xml:space="preserve">Today many Americans, particularly those members of the younger generations who make policy decisions, regard alcohol as an ordinary article of commerce, subject to substantially the same market and legal controls as other consumer products. That was definitely not the view of the generations </w:t>
      </w:r>
      <w:proofErr w:type="spellStart"/>
      <w:r>
        <w:rPr>
          <w:color w:val="000000"/>
        </w:rPr>
        <w:t>thatmade</w:t>
      </w:r>
      <w:proofErr w:type="spellEnd"/>
      <w:r>
        <w:rPr>
          <w:color w:val="000000"/>
        </w:rPr>
        <w:t xml:space="preserve"> policy in 1919 when the 18th Amendment was ratified or in 1933 when it was repealed by the 21st Amendment. On the contrary the moral condemnation of the use of alcohol as a beverage represented not merely the convictions of our religious leaders, but the views of a sufficiently large majority of the population to warrant the rare exercise of the power to amend the Constitution on two occasions. The 18th Amendment entirely prohibited commerce in “intoxicating liquors” for beverage purposes throughout the United States and the territories subject to its jurisdiction. While § 1 of the 21st Amendment repealed the nationwide prohibition, § 2 gave the States the option to maintain equally comprehensive prohibitions in their respective jurisdictions. </w:t>
      </w:r>
    </w:p>
    <w:p w:rsidR="003678C5" w:rsidRDefault="003678C5" w:rsidP="003678C5">
      <w:pPr>
        <w:pStyle w:val="NormalWeb"/>
        <w:spacing w:before="0" w:beforeAutospacing="0" w:after="0" w:afterAutospacing="0"/>
        <w:ind w:firstLine="720"/>
        <w:jc w:val="both"/>
      </w:pPr>
      <w:r>
        <w:rPr>
          <w:color w:val="000000"/>
        </w:rPr>
        <w:t>The views of judges who lived through the debates that led to the ratification of those Amendments are entitled to special deference. Foremost among them was Justice Brandeis, whose understanding of a State’s right to discriminate in its regulation of out-of-state alcohol could not have been clearer:</w:t>
      </w:r>
    </w:p>
    <w:p w:rsidR="003678C5" w:rsidRDefault="003678C5" w:rsidP="003678C5">
      <w:pPr>
        <w:pStyle w:val="NormalWeb"/>
        <w:spacing w:before="0" w:beforeAutospacing="0" w:after="0" w:afterAutospacing="0"/>
        <w:ind w:firstLine="720"/>
        <w:jc w:val="both"/>
      </w:pPr>
      <w:r>
        <w:rPr>
          <w:color w:val="000000"/>
        </w:rPr>
        <w:t xml:space="preserve"> “The plaintiffs ask us to limit [§2’s] broad command. They request us to construe the Amendment as saying, in effect: The State may prohibit the importation of intoxicating liquors provided it prohibits the manufacture and sale within its borders; but if it permits such manufacture and sale, it must let imported liquors compete with the domestic on equal terms. To say that, would involve not a construction of the Amendment, but a rewriting of it. . . . Can it be doubted that a State might establish a state monopoly of the manufacture and sale of beer, and either prohibit all competing importations, or discourage importation by laying a heavy impost, or channelize desired importations by confining them to a single consignee?” State Bd. Of Equalization of Cal. v. Young’s Market Co. (1936). . . . </w:t>
      </w:r>
    </w:p>
    <w:p w:rsidR="003678C5" w:rsidRDefault="003678C5" w:rsidP="003678C5">
      <w:pPr>
        <w:pStyle w:val="NormalWeb"/>
        <w:spacing w:before="0" w:beforeAutospacing="0" w:after="0" w:afterAutospacing="0"/>
        <w:ind w:firstLine="720"/>
        <w:jc w:val="both"/>
      </w:pPr>
      <w:r>
        <w:rPr>
          <w:color w:val="000000"/>
        </w:rPr>
        <w:t xml:space="preserve">My understanding (and recollection) of the historical context reinforces my conviction that the text of § 2 should be “broadly and colloquially interpreted.” Carter v. Virginia (1944) (Frankfurter, J., concurring). Indeed, the fact that the 21st Amendment was the only Amendment in our history to have been ratified by the people in state conventions, rather than by state legislatures, provides further reason to give its terms their ordinary meaning. Because the New York and Michigan laws regulate the “transportation or importation” of “intoxicating liquors” for “delivery or use </w:t>
      </w:r>
      <w:proofErr w:type="spellStart"/>
      <w:r>
        <w:rPr>
          <w:color w:val="000000"/>
        </w:rPr>
        <w:t>therein,”they</w:t>
      </w:r>
      <w:proofErr w:type="spellEnd"/>
      <w:r>
        <w:rPr>
          <w:color w:val="000000"/>
        </w:rPr>
        <w:t xml:space="preserve"> are exempt from Dormant Commerce Clause scrutiny.</w:t>
      </w:r>
    </w:p>
    <w:p w:rsidR="003678C5" w:rsidRDefault="003678C5" w:rsidP="003678C5">
      <w:pPr>
        <w:pStyle w:val="NormalWeb"/>
        <w:spacing w:before="0" w:beforeAutospacing="0" w:after="0" w:afterAutospacing="0"/>
        <w:ind w:firstLine="720"/>
        <w:jc w:val="both"/>
      </w:pPr>
      <w:r>
        <w:rPr>
          <w:color w:val="000000"/>
        </w:rPr>
        <w:lastRenderedPageBreak/>
        <w:t xml:space="preserve"> As Justice Thomas has demonstrated, the text of the 21st Amendment is a far more reliable guide to its meaning than the unwritten rules that the majority enforces today. I therefore join his persuasive and comprehensive dissenting opinion. </w:t>
      </w:r>
    </w:p>
    <w:p w:rsidR="003678C5" w:rsidRDefault="003678C5" w:rsidP="003678C5">
      <w:pPr>
        <w:pStyle w:val="NormalWeb"/>
        <w:spacing w:before="0" w:beforeAutospacing="0" w:after="0" w:afterAutospacing="0"/>
        <w:ind w:firstLine="720"/>
        <w:jc w:val="both"/>
      </w:pPr>
      <w:r>
        <w:rPr>
          <w:b/>
          <w:bCs/>
          <w:color w:val="000000"/>
        </w:rPr>
        <w:t>Justice Thomas, with whom The Chief Justice, Justice Stevens, and Justice O’Connor join, dissenting. [Omitted].</w:t>
      </w:r>
    </w:p>
    <w:p w:rsidR="005F75F5" w:rsidRDefault="005F75F5"/>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8C5"/>
    <w:rsid w:val="003678C5"/>
    <w:rsid w:val="005F75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E16524-CD8B-40BB-B3B8-F6C2C3886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78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3848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2485</Words>
  <Characters>14165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2018-07-02T18:51:00Z</dcterms:created>
  <dcterms:modified xsi:type="dcterms:W3CDTF">2018-07-02T19:03:00Z</dcterms:modified>
</cp:coreProperties>
</file>