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25B9" w:rsidRPr="001125B9" w:rsidRDefault="001125B9" w:rsidP="001125B9">
      <w:pPr>
        <w:spacing w:after="0" w:line="240" w:lineRule="auto"/>
        <w:jc w:val="center"/>
        <w:rPr>
          <w:rFonts w:ascii="Times New Roman" w:eastAsia="Times New Roman" w:hAnsi="Times New Roman" w:cs="Times New Roman"/>
          <w:sz w:val="24"/>
          <w:szCs w:val="24"/>
        </w:rPr>
      </w:pPr>
      <w:proofErr w:type="spellStart"/>
      <w:r w:rsidRPr="001125B9">
        <w:rPr>
          <w:rFonts w:ascii="Times New Roman" w:eastAsia="Times New Roman" w:hAnsi="Times New Roman" w:cs="Times New Roman"/>
          <w:b/>
          <w:bCs/>
          <w:color w:val="000000"/>
          <w:sz w:val="24"/>
          <w:szCs w:val="24"/>
        </w:rPr>
        <w:t>Flast</w:t>
      </w:r>
      <w:proofErr w:type="spellEnd"/>
      <w:r w:rsidRPr="001125B9">
        <w:rPr>
          <w:rFonts w:ascii="Times New Roman" w:eastAsia="Times New Roman" w:hAnsi="Times New Roman" w:cs="Times New Roman"/>
          <w:b/>
          <w:bCs/>
          <w:color w:val="000000"/>
          <w:sz w:val="24"/>
          <w:szCs w:val="24"/>
        </w:rPr>
        <w:t xml:space="preserve"> v. Cohen</w:t>
      </w:r>
    </w:p>
    <w:p w:rsidR="001125B9" w:rsidRPr="001125B9" w:rsidRDefault="001125B9" w:rsidP="001125B9">
      <w:pPr>
        <w:spacing w:after="0" w:line="240" w:lineRule="auto"/>
        <w:jc w:val="center"/>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392 U.S. 83 (1968)</w:t>
      </w:r>
    </w:p>
    <w:p w:rsidR="001125B9" w:rsidRPr="001125B9" w:rsidRDefault="001125B9" w:rsidP="001125B9">
      <w:pPr>
        <w:spacing w:after="0" w:line="240" w:lineRule="auto"/>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[Majority: Warren (C.J.), Black, Fortas, Brennan, Douglas, Marshall, White, and Stewart. Concurring: Douglas, Stewart, and Fortas. Dissenting: Harlan.]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[Federal taxpayers filed suit to enjoin the expenditure of federal funds for the purchase of textbooks and other instructional materials for use in parochial schools pursuant to the 1. The prevailing view of the commentators is that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announced only a </w:t>
      </w:r>
      <w:proofErr w:type="spellStart"/>
      <w:r w:rsidRPr="001125B9">
        <w:rPr>
          <w:rFonts w:ascii="Times New Roman" w:eastAsia="Times New Roman" w:hAnsi="Times New Roman" w:cs="Times New Roman"/>
          <w:color w:val="000000"/>
          <w:sz w:val="24"/>
          <w:szCs w:val="24"/>
        </w:rPr>
        <w:t>nonconstitutional</w:t>
      </w:r>
      <w:proofErr w:type="spellEnd"/>
      <w:r w:rsidRPr="001125B9">
        <w:rPr>
          <w:rFonts w:ascii="Times New Roman" w:eastAsia="Times New Roman" w:hAnsi="Times New Roman" w:cs="Times New Roman"/>
          <w:color w:val="000000"/>
          <w:sz w:val="24"/>
          <w:szCs w:val="24"/>
        </w:rPr>
        <w:t xml:space="preserve"> rule of self-restraint. . . . Elementary and Secondary Education Act of 1965. A three-judge panel of the United States District Court for the Southern District of New York dismissed the complaint on the ground that plaintiffs lacked standing to maintain the action.] </w:t>
      </w:r>
    </w:p>
    <w:p w:rsidR="001125B9" w:rsidRPr="001125B9" w:rsidRDefault="001125B9" w:rsidP="001125B9">
      <w:pPr>
        <w:spacing w:after="0" w:line="240" w:lineRule="auto"/>
        <w:jc w:val="both"/>
        <w:rPr>
          <w:rFonts w:ascii="Times New Roman" w:eastAsia="Times New Roman" w:hAnsi="Times New Roman" w:cs="Times New Roman"/>
          <w:sz w:val="24"/>
          <w:szCs w:val="24"/>
        </w:rPr>
      </w:pPr>
      <w:r w:rsidRPr="001125B9">
        <w:rPr>
          <w:rFonts w:ascii="Times New Roman" w:eastAsia="Times New Roman" w:hAnsi="Times New Roman" w:cs="Times New Roman"/>
          <w:b/>
          <w:bCs/>
          <w:color w:val="000000"/>
          <w:sz w:val="24"/>
          <w:szCs w:val="24"/>
        </w:rPr>
        <w:t xml:space="preserve">Mr. Chief Justice Warren delivered the opinion of the Court.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v. Mellon (1923), this Court ruled that a federal taxpayer is without standing to challenge the constitutionality of a federal statute. That ruling has stood for 45 years as an impenetrable barrier to suits against Acts of Congress brought by individuals who can assert only the interest of federal taxpayers. In this case, we must decide whether the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barrier should be lowered when a taxpayer attacks a federal statute on the ground that it violates the Establishment and Free Exercise Clauses of the 1st Amendment.... </w:t>
      </w:r>
    </w:p>
    <w:p w:rsidR="001125B9" w:rsidRPr="001125B9" w:rsidRDefault="001125B9" w:rsidP="001125B9">
      <w:pPr>
        <w:spacing w:after="0" w:line="240" w:lineRule="auto"/>
        <w:rPr>
          <w:rFonts w:ascii="Times New Roman" w:eastAsia="Times New Roman" w:hAnsi="Times New Roman" w:cs="Times New Roman"/>
          <w:sz w:val="24"/>
          <w:szCs w:val="24"/>
        </w:rPr>
      </w:pP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For reasons explained at length below, we hold that appellants do have standing as federal taxpayers to maintain this action, and the judgment below must be reversed. . . . II. This Court first faced squarely the question whether a litigant asserting only his status as a taxpayer has standing to maintain a suit in a federal court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v. Mellon and that decision must be the starting point for analysis in this case. .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Although the barrier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erected against federal taxpayer suits has never been breached, the decision has been the source of some confusion and the object of considerable criticism. The confusion has developed as commentators have tried to determine whether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establishes a constitutional bar to taxpayer suits or whether the Court was simply imposing a rule of self-restraint which was not constitutionally compelled. 1 The conflicting viewpoints are reflected in the arguments made to this Court by the parties in this case. The Government has pressed upon us the view that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announced a constitutional rule, compelled by the Article III limitations on federal court jurisdiction and grounded in considerations of the doctrine of separation of powers. Appellants, however, insist that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expressed no more than a policy of judicial self-restraint which can be disregarded when compelling reasons for assuming jurisdiction over a taxpayer’s suit exist. The opinion delivered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can be read to support either position. The concluding sentence of the opinion states that, to take jurisdiction of the taxpayer’s suit, “would be not to decide a judicial controversy, but to assume a position of authority over the governmental acts of another and co-equal department, an authority which plainly we do not possess.” Yet the concrete reasons given for denying standing to a federal taxpayer suggest that the Court’s holding rests on something less than a constitutional foundation. For example, the Court conceded that standing had previously been conferred on municipal taxpayers to sue in that capacity. However, the Court viewed the interest of a federal taxpayer in total federal tax revenues as “comparatively minute and indeterminable” when measured against a municipal taxpayer’s interest in a smaller city treasury. This suggests that the petitioner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was denied standing not because she was a taxpayer but because her tax bill was not large enough. In addition, the Court spoke of the “attendant inconveniences” of entertaining that taxpayer’s suit because it might open the door of </w:t>
      </w:r>
      <w:r w:rsidRPr="001125B9">
        <w:rPr>
          <w:rFonts w:ascii="Times New Roman" w:eastAsia="Times New Roman" w:hAnsi="Times New Roman" w:cs="Times New Roman"/>
          <w:color w:val="000000"/>
          <w:sz w:val="24"/>
          <w:szCs w:val="24"/>
        </w:rPr>
        <w:lastRenderedPageBreak/>
        <w:t xml:space="preserve">federal courts to countless such suits “in respect of every other appropriation act and statute whose administration requires the outlay of public money, and whose validity may be questioned.” Such a statement suggests pure policy considerations. To the extent that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has been viewed as resting on policy considerations, it has been criticized as depending on assumptions not consistent with modern conditions. For example, some commentators have pointed out that a number of corporate taxpayers today have a federal tax liability running into hundreds of millions of dollars, and such taxpayers have a far greater monetary stake in the Federal Treasury than they do in any municipal treasury. To some degree, the fear expressed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that allowing one taxpayer to sue would inundate the federal courts with countless similar suits has been mitigated by the ready availability of the devices of class actions and joinder under the Federal Rules of Civil Procedure, adopted subsequent to the decision in </w:t>
      </w:r>
      <w:proofErr w:type="spellStart"/>
      <w:r w:rsidRPr="001125B9">
        <w:rPr>
          <w:rFonts w:ascii="Times New Roman" w:eastAsia="Times New Roman" w:hAnsi="Times New Roman" w:cs="Times New Roman"/>
          <w:color w:val="000000"/>
          <w:sz w:val="24"/>
          <w:szCs w:val="24"/>
        </w:rPr>
        <w:t>Frothingham.Whatever</w:t>
      </w:r>
      <w:proofErr w:type="spellEnd"/>
      <w:r w:rsidRPr="001125B9">
        <w:rPr>
          <w:rFonts w:ascii="Times New Roman" w:eastAsia="Times New Roman" w:hAnsi="Times New Roman" w:cs="Times New Roman"/>
          <w:color w:val="000000"/>
          <w:sz w:val="24"/>
          <w:szCs w:val="24"/>
        </w:rPr>
        <w:t xml:space="preserve"> the merits of the current debate over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its very existence suggests that we should undertake a fresh examination of the limitations upon standing to sue in a federal court and the application of those limitations to taxpayer suits. III. The jurisdiction of federal courts is defined and limited by Article III of the Constitution. In terms relevant to the question for decision in this case, the judicial power of federal courts is constitutionally restricted to “cases” and “controversies.” . . . Embodied in the words “cases” and “controversies” are two complementary but somewhat different limitations. In part those words limit the business of federal courts to questions presented in an adversary context and in a form historically viewed as capable of resolution through the judicial process. And in part those words define the role assigned to the judiciary in a tripartite allocation of power to assure that the federal courts will not intrude into areas committed to the other branches of government. Justiciability is the term of art employed to give expression to this dual limitation placed upon federal courts by the case-and-controversy doctrine.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[T]he Government’s position is that the constitutional scheme of separation of powers, and the deference owed by the federal judiciary to the other two branches of government within that scheme, present an absolute bar to taxpayer suits challenging the validity of federal spending programs. The Government views such suits as involving no more than the mere disagreement by the taxpayer “with the uses to which tax money is put.” . . . Consequently, the Government contends that, under no circumstances, should standing be conferred on federal taxpayers to challenge a federal taxing or spending program. An analysis of the function served by standing limitations compels a rejection of the Government’s position.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Standing is an aspect of justiciability and, as such, the problem of standing is surrounded by the same complexities and vagaries that inhere in justiciability. Standing has been called one of “the most amorphous (concepts) in the entire domain of public law.” Some of the complexities peculiar to standing problems result because standing “serves, on occasion, as a shorthand expression for all the various elements of justiciability.” In addition, there are at work in the standing doctrine the many subtle pressures which tend to cause policy considerations to blend into constitutional limitations.</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Despite the complexities and uncertainties, some meaningful form can be given to the jurisdictional limitations placed on federal court power by the concept of standing. The fundamental aspect of standing is that it focuses on the party seeking to get his complaint before a federal court and not on the issues he wishes to have adjudicated. The “gist of the question of standing” is whether the party seeking relief has “alleged such a personal stake in the outcome of the controversy as to assure that concrete adverseness which sharpens the presentation of issues upon which the court so largely depends for illumination of difficult constitutional questions.” Baker v. </w:t>
      </w:r>
      <w:proofErr w:type="spellStart"/>
      <w:r w:rsidRPr="001125B9">
        <w:rPr>
          <w:rFonts w:ascii="Times New Roman" w:eastAsia="Times New Roman" w:hAnsi="Times New Roman" w:cs="Times New Roman"/>
          <w:color w:val="000000"/>
          <w:sz w:val="24"/>
          <w:szCs w:val="24"/>
        </w:rPr>
        <w:t>Carr</w:t>
      </w:r>
      <w:proofErr w:type="spellEnd"/>
      <w:r w:rsidRPr="001125B9">
        <w:rPr>
          <w:rFonts w:ascii="Times New Roman" w:eastAsia="Times New Roman" w:hAnsi="Times New Roman" w:cs="Times New Roman"/>
          <w:color w:val="000000"/>
          <w:sz w:val="24"/>
          <w:szCs w:val="24"/>
        </w:rPr>
        <w:t xml:space="preserve"> (1962). In other words, when standing is placed in issue in a case, the question is </w:t>
      </w:r>
      <w:r w:rsidRPr="001125B9">
        <w:rPr>
          <w:rFonts w:ascii="Times New Roman" w:eastAsia="Times New Roman" w:hAnsi="Times New Roman" w:cs="Times New Roman"/>
          <w:color w:val="000000"/>
          <w:sz w:val="24"/>
          <w:szCs w:val="24"/>
        </w:rPr>
        <w:lastRenderedPageBreak/>
        <w:t>whether the person whose standing is challenged is a proper party to request an adjudication of a particular issue and not whether the issue itself is justiciable.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When the emphasis in the standing problem is placed on whether the person invoking a federal court’s jurisdiction is a proper party to maintain the action, the weakness of the Government’s argument in this case becomes apparent. The question whether a particular person is a proper party to maintain the action does not, by its own force, raise separation of powers problems related to improper judicial interference in areas committed to other branches of the Federal Government. Such problems arise, if at all, only from the substantive issues the individual seeks to have adjudicated. Thus, in terms of Article III limitations on federal court jurisdiction, the question of standing is related only to whether the dispute sought to be adjudicated will be presented in an adversary context and in a form historically viewed as capable of judicial resolution. It is for that reason that the emphasis in standing problems is on whether the party invoking federal court jurisdiction has “a personal stake in the outcome of the controversy,” Baker v. </w:t>
      </w:r>
      <w:proofErr w:type="spellStart"/>
      <w:r w:rsidRPr="001125B9">
        <w:rPr>
          <w:rFonts w:ascii="Times New Roman" w:eastAsia="Times New Roman" w:hAnsi="Times New Roman" w:cs="Times New Roman"/>
          <w:color w:val="000000"/>
          <w:sz w:val="24"/>
          <w:szCs w:val="24"/>
        </w:rPr>
        <w:t>Carr</w:t>
      </w:r>
      <w:proofErr w:type="spellEnd"/>
      <w:r w:rsidRPr="001125B9">
        <w:rPr>
          <w:rFonts w:ascii="Times New Roman" w:eastAsia="Times New Roman" w:hAnsi="Times New Roman" w:cs="Times New Roman"/>
          <w:color w:val="000000"/>
          <w:sz w:val="24"/>
          <w:szCs w:val="24"/>
        </w:rPr>
        <w:t xml:space="preserve">, and whether the dispute touches upon “the legal relations of parties having adverse legal </w:t>
      </w:r>
      <w:proofErr w:type="spellStart"/>
      <w:r w:rsidRPr="001125B9">
        <w:rPr>
          <w:rFonts w:ascii="Times New Roman" w:eastAsia="Times New Roman" w:hAnsi="Times New Roman" w:cs="Times New Roman"/>
          <w:color w:val="000000"/>
          <w:sz w:val="24"/>
          <w:szCs w:val="24"/>
        </w:rPr>
        <w:t>interests.”A</w:t>
      </w:r>
      <w:proofErr w:type="spellEnd"/>
      <w:r w:rsidRPr="001125B9">
        <w:rPr>
          <w:rFonts w:ascii="Times New Roman" w:eastAsia="Times New Roman" w:hAnsi="Times New Roman" w:cs="Times New Roman"/>
          <w:color w:val="000000"/>
          <w:sz w:val="24"/>
          <w:szCs w:val="24"/>
        </w:rPr>
        <w:t xml:space="preserve"> taxpayer may or may not have the requisite personal stake in the outcome, depending upon the circumstances of the particular case. Therefore, we find no absolute bar in Article III to suits by federal taxpayers challenging allegedly unconstitutional federal taxing and spending programs. There remains, however, the problem of determining the circumstances under which a federal taxpayer will be deemed to have the personal stake and interest that impart the necessary concrete adverseness to such litigation so that standing can be conferred on the taxpayer qua taxpayer consistent with the constitutional limitations of Article III. .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IV. [O]</w:t>
      </w:r>
      <w:proofErr w:type="spellStart"/>
      <w:r w:rsidRPr="001125B9">
        <w:rPr>
          <w:rFonts w:ascii="Times New Roman" w:eastAsia="Times New Roman" w:hAnsi="Times New Roman" w:cs="Times New Roman"/>
          <w:color w:val="000000"/>
          <w:sz w:val="24"/>
          <w:szCs w:val="24"/>
        </w:rPr>
        <w:t>ur</w:t>
      </w:r>
      <w:proofErr w:type="spellEnd"/>
      <w:r w:rsidRPr="001125B9">
        <w:rPr>
          <w:rFonts w:ascii="Times New Roman" w:eastAsia="Times New Roman" w:hAnsi="Times New Roman" w:cs="Times New Roman"/>
          <w:color w:val="000000"/>
          <w:sz w:val="24"/>
          <w:szCs w:val="24"/>
        </w:rPr>
        <w:t xml:space="preserve"> decisions establish that, in ruling on standing, it is both appropriate and necessary to look to the substantive issues . . . to determine whether there is a logical nexus between the status asserted and the claim sought to be adjudicated. .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The nexus demanded of federal taxpayers has two aspects to it. First, the taxpayer must establish a logical link between that status and the type of legislative enactment attacked. Thus, a taxpayer will be a proper party to allege the unconstitutionality only of exercises of congressional power under the Taxing and Spending Clause of Art. I, §8, of the Constitution. It will not be sufficient to allege an incidental expenditure of tax funds in the administration of an essentially regulatory statute. This requirement is consistent with the limitation imposed upon state-taxpayer standing in federal courts in </w:t>
      </w:r>
      <w:proofErr w:type="spellStart"/>
      <w:r w:rsidRPr="001125B9">
        <w:rPr>
          <w:rFonts w:ascii="Times New Roman" w:eastAsia="Times New Roman" w:hAnsi="Times New Roman" w:cs="Times New Roman"/>
          <w:color w:val="000000"/>
          <w:sz w:val="24"/>
          <w:szCs w:val="24"/>
        </w:rPr>
        <w:t>Doremus</w:t>
      </w:r>
      <w:proofErr w:type="spellEnd"/>
      <w:r w:rsidRPr="001125B9">
        <w:rPr>
          <w:rFonts w:ascii="Times New Roman" w:eastAsia="Times New Roman" w:hAnsi="Times New Roman" w:cs="Times New Roman"/>
          <w:color w:val="000000"/>
          <w:sz w:val="24"/>
          <w:szCs w:val="24"/>
        </w:rPr>
        <w:t xml:space="preserve"> v. Board of Education (1952). Secondly, the taxpayer must establish a nexus between that status and the precise nature of the constitutional infringement alleged. Under this requirement, the taxpayer must show that the challenged enactment exceeds specific constitutional limitations imposed upon the exercise of the congressional taxing and spending power and not simply that the enactment is generally beyond the powers delegated to Congress by Art. I, §8. When both nexuses are established, the litigant will have shown a taxpayer’s stake in the outcome of the controversy and will be a proper and appropriate party to invoke a federal court’s jurisdiction.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The taxpayer-appellants in this case have satisfied both nexuses to support their claim of standing under the test we announce today. Their constitutional challenge is made to an exercise by Congress of its power under Art. I, §8, to spend for the general welfare, and the challenged program involves a substantial expenditure of federal tax funds. In addition, appellants have alleged that the challenged expenditures violate the Establishment and Free Exercise Clauses of the 1st Amendment. Our history vividly illustrates that one of the specific evils feared by those who drafted the Establishment Clause and fought for its adoption was that the taxing and spending power would be used to favor one religion over another or to support religion in general.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lastRenderedPageBreak/>
        <w:t xml:space="preserve">. The allegations of the taxpayer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v. Mellon were quite different from those made in this case, and the result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is consistent with the test of taxpayer standing announced today. The taxpayer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attacked a federal spending program and she, therefore, established the first nexus required. However, she lacked standing because her constitutional attack was not based on an allegation that Congress, in enacting the Maternity Act of 1921, had breached a specific limitation upon its taxing and spending power. The taxpayer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alleged essentially that Congress, by enacting the challenged statute, had exceeded the general powers delegated to it by Art. I, §8, and that Congress had thereby invaded the legislative province reserved to the States by the 10th Amendment. To be sure, Mrs.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made the additional allegation that her tax liability would be increased as a result of the allegedly unconstitutional enactment, and she framed that allegation in terms of a deprivation of property without due process of law. However, the Due Process Clause of the 5th Amendment does not protect taxpayers against increases in tax liability, and the taxpayer in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failed to make any additional claim that the harm she alleged resulted from a breach by Congress of the specific constitutional limitations imposed upon an exercise of the taxing and spending power. In essence, Mrs.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was attempting to assert the States’ interest in their legislative prerogatives and not a federal taxpayer’s interest in being free of taxing and spending in contravention of specific constitutional limitations imposed upon Congress’ taxing and spending power.</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We have noted that the Establishment Clause of the 1st Amendment does specifically limit the taxing and spending power conferred by Art. I, §8. Whether the Constitution contains other specific limitations can be determined only in the context of future cases. However, whenever such specific limitations are found, we believe a taxpayer will have a clear stake as a taxpayer in assuring that they are not breached by Congress. Consequently, we hold that a taxpayer will have standing consistent with Article III to invoke federal judicial power when he alleges that congressional action under the taxing and spending clause is in derogation of those constitutional provisions which operate to restrict the exercise of the taxing and spending power. The taxpayer’s allegation in such cases would be that his tax money is being extracted and spent in violation of specific constitutional protections against such abuses of legislative power. Such an injury is appropriate for judicial redress, and the taxpayer has established the necessary nexus between his status and the nature of the allegedly unconstitutional action to support his claim of standing to secure judicial review. Under such circumstances, we feel confident that the questions will be framed with the necessary specificity, that the issues will be contested with the necessary adverseness and that the litigation will be pursued with the necessary vigor to assure that the constitutional challenge will be made in a form traditionally thought to be capable of judicial </w:t>
      </w:r>
      <w:proofErr w:type="spellStart"/>
      <w:r w:rsidRPr="001125B9">
        <w:rPr>
          <w:rFonts w:ascii="Times New Roman" w:eastAsia="Times New Roman" w:hAnsi="Times New Roman" w:cs="Times New Roman"/>
          <w:color w:val="000000"/>
          <w:sz w:val="24"/>
          <w:szCs w:val="24"/>
        </w:rPr>
        <w:t>resolution.We</w:t>
      </w:r>
      <w:proofErr w:type="spellEnd"/>
      <w:r w:rsidRPr="001125B9">
        <w:rPr>
          <w:rFonts w:ascii="Times New Roman" w:eastAsia="Times New Roman" w:hAnsi="Times New Roman" w:cs="Times New Roman"/>
          <w:color w:val="000000"/>
          <w:sz w:val="24"/>
          <w:szCs w:val="24"/>
        </w:rPr>
        <w:t xml:space="preserve"> lack that confidence in cases such as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where a taxpayer seeks to employ a federal court as a forum in which to air his generalized grievances about the conduct of government or the allocation of power in the Federal System.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Reversed.</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Concurring opinions of Mr. Justice Douglas, Stewart, and Fortas omitted.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b/>
          <w:bCs/>
          <w:color w:val="000000"/>
          <w:sz w:val="24"/>
          <w:szCs w:val="24"/>
        </w:rPr>
        <w:t>Mr. Justice Harlan, dissenting</w:t>
      </w:r>
      <w:r w:rsidRPr="001125B9">
        <w:rPr>
          <w:rFonts w:ascii="Times New Roman" w:eastAsia="Times New Roman" w:hAnsi="Times New Roman" w:cs="Times New Roman"/>
          <w:color w:val="000000"/>
          <w:sz w:val="24"/>
          <w:szCs w:val="24"/>
        </w:rPr>
        <w:t>.</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The problems presented by this case are narrow and relatively abstract, but the principles by which they must be resolved involve nothing less than the proper functioning of the federal courts, and so run to the roots of our constitutional system. The nub of my view is that the end result of </w:t>
      </w:r>
      <w:proofErr w:type="spellStart"/>
      <w:r w:rsidRPr="001125B9">
        <w:rPr>
          <w:rFonts w:ascii="Times New Roman" w:eastAsia="Times New Roman" w:hAnsi="Times New Roman" w:cs="Times New Roman"/>
          <w:color w:val="000000"/>
          <w:sz w:val="24"/>
          <w:szCs w:val="24"/>
        </w:rPr>
        <w:t>Frothingham</w:t>
      </w:r>
      <w:proofErr w:type="spellEnd"/>
      <w:r w:rsidRPr="001125B9">
        <w:rPr>
          <w:rFonts w:ascii="Times New Roman" w:eastAsia="Times New Roman" w:hAnsi="Times New Roman" w:cs="Times New Roman"/>
          <w:color w:val="000000"/>
          <w:sz w:val="24"/>
          <w:szCs w:val="24"/>
        </w:rPr>
        <w:t xml:space="preserve"> v. Mellon (1923) was correct, even though, like others, I do not subscribe to all of its reasoning and premises.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lastRenderedPageBreak/>
        <w:t xml:space="preserve"> III. It seems to me clear that public actions [brought by individuals], whatever the constitutional provisions on which they are premised, may involve important hazards for the continued effectiveness of the federal judiciary. Although I believe such actions to be within the jurisdiction conferred upon the federal courts by Article III of the Constitution, there surely can be little doubt that they strain the judicial function and press to the limit judicial authority. There is every reason to fear that unrestricted public actions might well alter the allocation of authority among the three branches of the Federal Government. It is not, I submit, enough to say that the present members of the Court would not seize these opportunities for abuse, for such actions would, even without conscious abuse, go far toward the final transformation of this Court into the Council of Revision which, despite Madison’s support, was rejected by the Constitutional Convention. I do not doubt that there must be “some effectual power in the government to restrain or correct the infractions” of the Constitution’s several commands, but neither can I suppose that such power resides only in the federal courts. We must as judges recall that, as Mr. Justice Holmes wisely observed, the other branches of the Government “are ultimate guardians of the liberties and welfare of the people in quite as great a degree as the courts.” The powers of the federal judiciary will be adequate for the great burdens placed upon them only if they are employed prudently, with recognition of the strengths as well as the hazards that go with our kind of representative government. . . .</w:t>
      </w:r>
    </w:p>
    <w:p w:rsidR="001125B9" w:rsidRPr="001125B9" w:rsidRDefault="001125B9" w:rsidP="001125B9">
      <w:pPr>
        <w:spacing w:after="0" w:line="240" w:lineRule="auto"/>
        <w:ind w:firstLine="720"/>
        <w:jc w:val="both"/>
        <w:rPr>
          <w:rFonts w:ascii="Times New Roman" w:eastAsia="Times New Roman" w:hAnsi="Times New Roman" w:cs="Times New Roman"/>
          <w:sz w:val="24"/>
          <w:szCs w:val="24"/>
        </w:rPr>
      </w:pPr>
      <w:r w:rsidRPr="001125B9">
        <w:rPr>
          <w:rFonts w:ascii="Times New Roman" w:eastAsia="Times New Roman" w:hAnsi="Times New Roman" w:cs="Times New Roman"/>
          <w:color w:val="000000"/>
          <w:sz w:val="24"/>
          <w:szCs w:val="24"/>
        </w:rPr>
        <w:t xml:space="preserve"> Accordingly, for the reasons contained in this opinion, I would affirm the judgment of the District Court.</w:t>
      </w:r>
    </w:p>
    <w:p w:rsidR="005F75F5" w:rsidRDefault="005F75F5">
      <w:bookmarkStart w:id="0" w:name="_GoBack"/>
      <w:bookmarkEnd w:id="0"/>
    </w:p>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5B9"/>
    <w:rsid w:val="001125B9"/>
    <w:rsid w:val="005F75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29D4CF-C958-47D6-8583-BFB5994B8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25B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8946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2735</Words>
  <Characters>15596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2018-06-19T20:55:00Z</dcterms:created>
  <dcterms:modified xsi:type="dcterms:W3CDTF">2018-06-19T20:56:00Z</dcterms:modified>
</cp:coreProperties>
</file>