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002F" w:rsidRDefault="00CB002F" w:rsidP="00CB002F">
      <w:pPr>
        <w:pStyle w:val="NormalWeb"/>
        <w:spacing w:before="0" w:beforeAutospacing="0" w:after="0" w:afterAutospacing="0"/>
        <w:jc w:val="center"/>
      </w:pPr>
      <w:bookmarkStart w:id="0" w:name="_GoBack"/>
      <w:r>
        <w:rPr>
          <w:b/>
          <w:bCs/>
          <w:color w:val="000000"/>
        </w:rPr>
        <w:t xml:space="preserve">Boumediene v. Bush </w:t>
      </w:r>
    </w:p>
    <w:bookmarkEnd w:id="0"/>
    <w:p w:rsidR="00CB002F" w:rsidRDefault="00CB002F" w:rsidP="00CB002F">
      <w:pPr>
        <w:pStyle w:val="NormalWeb"/>
        <w:spacing w:before="0" w:beforeAutospacing="0" w:after="0" w:afterAutospacing="0"/>
        <w:jc w:val="center"/>
      </w:pPr>
      <w:r>
        <w:rPr>
          <w:color w:val="000000"/>
        </w:rPr>
        <w:t>553 U.S. 723 (2008)</w:t>
      </w:r>
    </w:p>
    <w:p w:rsidR="00CB002F" w:rsidRDefault="00CB002F" w:rsidP="00CB002F">
      <w:pPr>
        <w:pStyle w:val="NormalWeb"/>
        <w:spacing w:before="0" w:beforeAutospacing="0" w:after="0" w:afterAutospacing="0"/>
        <w:jc w:val="both"/>
      </w:pPr>
      <w:r>
        <w:rPr>
          <w:color w:val="000000"/>
        </w:rPr>
        <w:t xml:space="preserve"> [Majority: Kennedy, Stevens, Souter, Ginsburg, and Breyer, JJ. Dissenting: Roberts, C.J.; Scalia, Thomas, and Alito, JJ.] </w:t>
      </w:r>
    </w:p>
    <w:p w:rsidR="00CB002F" w:rsidRDefault="00CB002F" w:rsidP="00CB002F">
      <w:pPr>
        <w:pStyle w:val="NormalWeb"/>
        <w:spacing w:before="0" w:beforeAutospacing="0" w:after="0" w:afterAutospacing="0"/>
        <w:jc w:val="both"/>
      </w:pPr>
      <w:r>
        <w:rPr>
          <w:b/>
          <w:bCs/>
          <w:color w:val="000000"/>
        </w:rPr>
        <w:t xml:space="preserve">Justice Kennedy delivered the opinion of the Court. </w:t>
      </w:r>
    </w:p>
    <w:p w:rsidR="00CB002F" w:rsidRDefault="00CB002F" w:rsidP="00CB002F">
      <w:pPr>
        <w:pStyle w:val="NormalWeb"/>
        <w:spacing w:before="0" w:beforeAutospacing="0" w:after="0" w:afterAutospacing="0"/>
        <w:ind w:firstLine="720"/>
        <w:jc w:val="both"/>
      </w:pPr>
      <w:r>
        <w:rPr>
          <w:color w:val="000000"/>
        </w:rPr>
        <w:t>Petitioners are aliens designated as enemy combatants and detained at the United States Naval Station at Guantanamo Bay, Cuba.</w:t>
      </w:r>
    </w:p>
    <w:p w:rsidR="00CB002F" w:rsidRDefault="00CB002F" w:rsidP="00CB002F">
      <w:pPr>
        <w:pStyle w:val="NormalWeb"/>
        <w:spacing w:before="0" w:beforeAutospacing="0" w:after="0" w:afterAutospacing="0"/>
        <w:ind w:firstLine="720"/>
        <w:jc w:val="both"/>
      </w:pPr>
      <w:r>
        <w:rPr>
          <w:color w:val="000000"/>
        </w:rPr>
        <w:t xml:space="preserve"> Petitioners present a question not resolved by our earlier cases relating to the detention of aliens at Guantanamo: whether they have the constitutional privilege of habeas corpus, a privilege not to be withdrawn except in conformance with the Suspension Clause, Art. I, §9, cl. 2. We hold these petitioners do have the habeas corpus privilege. Congress has enacted a statute, the Detainee Treatment Act of 2005 (DTA), that provides certain procedures for review of the detainees’ status. We hold that those procedures are not an adequate and effective substitute for habeas corpus. Therefore §7 of </w:t>
      </w:r>
      <w:proofErr w:type="spellStart"/>
      <w:r>
        <w:rPr>
          <w:color w:val="000000"/>
        </w:rPr>
        <w:t>theMilitary</w:t>
      </w:r>
      <w:proofErr w:type="spellEnd"/>
      <w:r>
        <w:rPr>
          <w:color w:val="000000"/>
        </w:rPr>
        <w:t xml:space="preserve"> Commissions Act of 2006 (MCA), 28 U. S. C. A. §2241(e), operates as an unconstitutional suspension of the writ. We do not address whether the President has authority to detain these petitioners nor do we hold that the writ must issue. These and other questions regarding the legality of the detention are to be resolved in the first instance by the District Court. </w:t>
      </w:r>
    </w:p>
    <w:p w:rsidR="00CB002F" w:rsidRDefault="00CB002F" w:rsidP="00CB002F">
      <w:pPr>
        <w:pStyle w:val="NormalWeb"/>
        <w:spacing w:before="0" w:beforeAutospacing="0" w:after="0" w:afterAutospacing="0"/>
        <w:ind w:firstLine="720"/>
        <w:jc w:val="both"/>
      </w:pPr>
      <w:r>
        <w:rPr>
          <w:color w:val="000000"/>
        </w:rPr>
        <w:t xml:space="preserve">I. [The Court of Appeals had ruled that §7 of the Military Commissions Act stripped all federal jurisdiction to consider petitioners’ habeas petitions, that petitioners were not entitled to the privilege of the writ of habeas corpus or the protections of the Suspension Clause, and that as a result, it was unnecessary to consider whether or not Congress had provided an adequate and effective substitute for habeas corpus in the procedures established to try the petitioners.] . . . </w:t>
      </w:r>
    </w:p>
    <w:p w:rsidR="00CB002F" w:rsidRDefault="00CB002F" w:rsidP="00CB002F">
      <w:pPr>
        <w:pStyle w:val="NormalWeb"/>
        <w:spacing w:before="0" w:beforeAutospacing="0" w:after="0" w:afterAutospacing="0"/>
        <w:ind w:firstLine="720"/>
        <w:jc w:val="both"/>
      </w:pPr>
      <w:r>
        <w:rPr>
          <w:color w:val="000000"/>
        </w:rPr>
        <w:t xml:space="preserve">III. In deciding the constitutional questions now presented we must determine whether petitioners are barred from seeking the writ or invoking the protections of the Suspension Clause either because of their status, i.e., petitioners’ designation by the Executive Branch as enemy combatants, or their physical location, i.e., their presence at Guantanamo Bay. The Government contends that noncitizens designated as enemy combatants and detained in territory located outside our Nation’s borders have no constitutional rights and no privilege of habeas corpus. Petitioners contend they do have cognizable constitutional rights and that Congress, in seeking to eliminate recourse to habeas corpus as a means to assert those rights, acted in violation of the Suspension Clause. . . . </w:t>
      </w:r>
    </w:p>
    <w:p w:rsidR="00CB002F" w:rsidRDefault="00CB002F" w:rsidP="00CB002F">
      <w:pPr>
        <w:pStyle w:val="NormalWeb"/>
        <w:spacing w:before="0" w:beforeAutospacing="0" w:after="0" w:afterAutospacing="0"/>
        <w:ind w:firstLine="720"/>
        <w:jc w:val="both"/>
      </w:pPr>
      <w:r>
        <w:rPr>
          <w:color w:val="000000"/>
        </w:rPr>
        <w:t xml:space="preserve">III-A. The Framers viewed freedom from unlawful restraint as a fundamental precept of liberty, and they understood the writ of habeas corpus as a vital instrument to secure that freedom. Experience taught, however, that the common-law writ all too often had been insufficient to guard against the abuse of monarchial power. That history counseled the necessity for specific language in the Constitution to secure the writ and ensure its place in our legal system. Magna Carta decreed that no man would be imprisoned contrary to the law of the land. Important as the principle was, the Barons at Runnymede prescribed no specific legal process to enforce it. Holdsworth tells us, however, that gradually the writ of habeas corpus became the means by which the promise of Magna Carta was fulfilled. . . . </w:t>
      </w:r>
    </w:p>
    <w:p w:rsidR="00CB002F" w:rsidRDefault="00CB002F" w:rsidP="00CB002F">
      <w:pPr>
        <w:pStyle w:val="NormalWeb"/>
        <w:spacing w:before="0" w:beforeAutospacing="0" w:after="0" w:afterAutospacing="0"/>
        <w:ind w:firstLine="720"/>
        <w:jc w:val="both"/>
      </w:pPr>
      <w:r>
        <w:rPr>
          <w:color w:val="000000"/>
        </w:rPr>
        <w:t xml:space="preserve">[F]rom an early date it was understood that the King, too, was subject to the law. As the writers said of Magna Carta, “it means this, that the king is and shall be below the law.” And, by the 1600’s, the writ was deemed less an instrument of the King’s power and more a restraint upon it. </w:t>
      </w:r>
    </w:p>
    <w:p w:rsidR="00CB002F" w:rsidRDefault="00CB002F" w:rsidP="00CB002F">
      <w:pPr>
        <w:pStyle w:val="NormalWeb"/>
        <w:spacing w:before="0" w:beforeAutospacing="0" w:after="0" w:afterAutospacing="0"/>
        <w:ind w:firstLine="720"/>
        <w:jc w:val="both"/>
      </w:pPr>
      <w:r>
        <w:rPr>
          <w:color w:val="000000"/>
        </w:rPr>
        <w:lastRenderedPageBreak/>
        <w:t>Still, the writ proved to be an imperfect check. Even when the importance of the writ was well understood in England, habeas relief often was denied by the courts or suspended by Parliament. Denial or suspension occurred in times of political unrest, to the anguish of the imprisoned and the outrage of those in sympathy with them.</w:t>
      </w:r>
    </w:p>
    <w:p w:rsidR="00CB002F" w:rsidRDefault="00CB002F" w:rsidP="00CB002F">
      <w:pPr>
        <w:pStyle w:val="NormalWeb"/>
        <w:spacing w:before="0" w:beforeAutospacing="0" w:after="0" w:afterAutospacing="0"/>
        <w:ind w:firstLine="720"/>
        <w:jc w:val="both"/>
      </w:pPr>
      <w:r>
        <w:rPr>
          <w:color w:val="000000"/>
        </w:rPr>
        <w:t xml:space="preserve"> A notable example from this period was Darnel’s Case (K. B. 1627). The events giving rise to the case began when, in a display of the Stuart penchant for authoritarian excess, Charles I demanded that Darnel and at least four others lend him money. . . . </w:t>
      </w:r>
    </w:p>
    <w:p w:rsidR="00CB002F" w:rsidRDefault="00CB002F" w:rsidP="00CB002F">
      <w:pPr>
        <w:pStyle w:val="NormalWeb"/>
        <w:spacing w:before="0" w:beforeAutospacing="0" w:after="0" w:afterAutospacing="0"/>
        <w:ind w:firstLine="720"/>
        <w:jc w:val="both"/>
      </w:pPr>
      <w:r>
        <w:rPr>
          <w:color w:val="000000"/>
        </w:rPr>
        <w:t>There was an immediate outcry of protest. The House of Commons promptly passed the Petition of Right, 3 Car. 1,ch. 1 (1627), which condemned executive “imprison[</w:t>
      </w:r>
      <w:proofErr w:type="spellStart"/>
      <w:r>
        <w:rPr>
          <w:color w:val="000000"/>
        </w:rPr>
        <w:t>ment</w:t>
      </w:r>
      <w:proofErr w:type="spellEnd"/>
      <w:r>
        <w:rPr>
          <w:color w:val="000000"/>
        </w:rPr>
        <w:t xml:space="preserve">] without any cause” shown, and declared that “no freeman in any such manner as is before mentioned [shall] be imprisoned or </w:t>
      </w:r>
      <w:proofErr w:type="spellStart"/>
      <w:r>
        <w:rPr>
          <w:color w:val="000000"/>
        </w:rPr>
        <w:t>detained.”Yet</w:t>
      </w:r>
      <w:proofErr w:type="spellEnd"/>
      <w:r>
        <w:rPr>
          <w:color w:val="000000"/>
        </w:rPr>
        <w:t xml:space="preserve"> a full legislative response was long delayed. . . . When Parliament reconvened in 1640, it sought to secure access to the writ by statute. The Act of 1640, expressly authorized use of the writ to test the legality of commitment by command or warrant of the King or the Privy Council. Civil strife and the Interregnum soon followed, and not until 1679 did Parliament try once more to secure the writ, this time through the Habeas Corpus Act of 1679. The Act, which later would be described by Blackstone as the “stable bulwark of our liberties,” 1W. Blackstone, Commentaries *137 (hereinafter Blackstone), established procedures for issuing the writ; and it was the model upon which the habeas statutes of the 13 American Colonies were based. </w:t>
      </w:r>
    </w:p>
    <w:p w:rsidR="00CB002F" w:rsidRDefault="00CB002F" w:rsidP="00CB002F">
      <w:pPr>
        <w:pStyle w:val="NormalWeb"/>
        <w:spacing w:before="0" w:beforeAutospacing="0" w:after="0" w:afterAutospacing="0"/>
        <w:ind w:firstLine="720"/>
        <w:jc w:val="both"/>
      </w:pPr>
      <w:r>
        <w:rPr>
          <w:color w:val="000000"/>
        </w:rPr>
        <w:t xml:space="preserve">This history was known to the Framers. It no doubt confirmed their view that pendular swings to and away from individual liberty were endemic to undivided, uncontrolled power. The Framers’ inherent distrust of governmental power was the driving force behind the constitutional plan that allocated powers among three independent branches. This design serves not only to make Government accountable but also to secure individual liberty. Because the Constitution’s separation-of-powers structure, like the substantive guarantees of the 5th and 14th Amendments, see </w:t>
      </w:r>
      <w:proofErr w:type="spellStart"/>
      <w:r>
        <w:rPr>
          <w:color w:val="000000"/>
        </w:rPr>
        <w:t>YickWo</w:t>
      </w:r>
      <w:proofErr w:type="spellEnd"/>
      <w:r>
        <w:rPr>
          <w:color w:val="000000"/>
        </w:rPr>
        <w:t xml:space="preserve"> v. Hopkins (1886), protects persons as well as citizens, foreign nationals who have the privilege of litigating in our courts can seek to enforce separation-of-powers principles. </w:t>
      </w:r>
    </w:p>
    <w:p w:rsidR="00CB002F" w:rsidRDefault="00CB002F" w:rsidP="00CB002F">
      <w:pPr>
        <w:pStyle w:val="NormalWeb"/>
        <w:spacing w:before="0" w:beforeAutospacing="0" w:after="0" w:afterAutospacing="0"/>
        <w:ind w:firstLine="720"/>
        <w:jc w:val="both"/>
      </w:pPr>
      <w:r>
        <w:rPr>
          <w:color w:val="000000"/>
        </w:rPr>
        <w:t>That the Framers considered the writ a vital instrument for the protection of individual liberty is evident from the care taken to specify the limited grounds for its suspension: “The Privilege of the Writ of Habeas Corpus shall not be suspended, unless when in Cases of Rebellion or Invasion the public Safety may require it.” . . .</w:t>
      </w:r>
    </w:p>
    <w:p w:rsidR="00CB002F" w:rsidRDefault="00CB002F" w:rsidP="00CB002F">
      <w:pPr>
        <w:pStyle w:val="NormalWeb"/>
        <w:spacing w:before="0" w:beforeAutospacing="0" w:after="0" w:afterAutospacing="0"/>
        <w:ind w:firstLine="720"/>
        <w:jc w:val="both"/>
      </w:pPr>
      <w:r>
        <w:rPr>
          <w:color w:val="000000"/>
        </w:rPr>
        <w:t xml:space="preserve"> Surviving accounts of the ratification debates provide additional evidence that the Framers deemed the writ to be an essential mechanism in the separation-of-powers scheme. In a critical exchange with Patrick Henry at the Virginia ratifying convention Edmund Randolph referred to the Suspension Clause as an “exception” to the “power given to Congress to regulate courts.” A resolution passed by the New York ratifying convention made clear its understanding that the Clause not only protects against arbitrary suspensions of the writ but also guarantees an affirmative right to judicial inquiry into the causes of detention. Alexander Hamilton likewise explained that by providing the detainee a judicial forum to challenge detention, the writ preserves limited government. . . . </w:t>
      </w:r>
    </w:p>
    <w:p w:rsidR="00CB002F" w:rsidRDefault="00CB002F" w:rsidP="00CB002F">
      <w:pPr>
        <w:pStyle w:val="NormalWeb"/>
        <w:spacing w:before="0" w:beforeAutospacing="0" w:after="0" w:afterAutospacing="0"/>
        <w:ind w:firstLine="720"/>
        <w:jc w:val="both"/>
      </w:pPr>
      <w:r>
        <w:rPr>
          <w:color w:val="000000"/>
        </w:rPr>
        <w:t xml:space="preserve">Post-1789 habeas developments in England, though not bearing upon the Framers’ intent, do verify their foresight. Just as the writ had been vulnerable to executive and parliamentary encroachment on both sides of the Atlantic before the American Revolution, despite the Habeas Corpus Act of 1679, the writ was suspended with frequency in England during times of political unrest after 1789. Parliament suspended the writ for much of the period from 1792 to 1801, resulting in rampant arbitrary imprisonment. Even as late as </w:t>
      </w:r>
      <w:proofErr w:type="spellStart"/>
      <w:r>
        <w:rPr>
          <w:color w:val="000000"/>
        </w:rPr>
        <w:t>WorldWar</w:t>
      </w:r>
      <w:proofErr w:type="spellEnd"/>
      <w:r>
        <w:rPr>
          <w:color w:val="000000"/>
        </w:rPr>
        <w:t xml:space="preserve"> I, at least one prominent </w:t>
      </w:r>
      <w:r>
        <w:rPr>
          <w:color w:val="000000"/>
        </w:rPr>
        <w:lastRenderedPageBreak/>
        <w:t>English jurist complained that the Defense of the Realm Act, 1914, effectively had suspended the privilege of habeas corpus for any person suspected of “communicating with the enemy.”</w:t>
      </w:r>
    </w:p>
    <w:p w:rsidR="00CB002F" w:rsidRDefault="00CB002F" w:rsidP="00CB002F">
      <w:pPr>
        <w:pStyle w:val="NormalWeb"/>
        <w:spacing w:before="0" w:beforeAutospacing="0" w:after="0" w:afterAutospacing="0"/>
        <w:ind w:firstLine="720"/>
        <w:jc w:val="both"/>
      </w:pPr>
      <w:r>
        <w:rPr>
          <w:color w:val="000000"/>
        </w:rPr>
        <w:t xml:space="preserve"> In our own system the Suspension Clause is designed to protect against these cyclical abuses. The Clause protects the rights of the detained by a means consistent with the essential design of the Constitution. It ensures that, except during periods of formal suspension, the Judiciary will have a time-tested device, the writ, to maintain the “delicate balance of governance” that is itself the surest safeguard of liberty. The Clause protects the rights of the detained by affirming the duty and authority of the Judiciary to call the jailer to account. The separation-of powers doctrine, and the history that influenced its design, therefore must inform the reach and purpose of the Suspension Clause.</w:t>
      </w:r>
    </w:p>
    <w:p w:rsidR="00CB002F" w:rsidRDefault="00CB002F" w:rsidP="00CB002F">
      <w:pPr>
        <w:pStyle w:val="NormalWeb"/>
        <w:spacing w:before="0" w:beforeAutospacing="0" w:after="0" w:afterAutospacing="0"/>
        <w:ind w:firstLine="720"/>
        <w:jc w:val="both"/>
      </w:pPr>
      <w:r>
        <w:rPr>
          <w:color w:val="000000"/>
        </w:rPr>
        <w:t xml:space="preserve"> III-B. The broad historical narrative of the writ and its function is central to our analysis, but we seek guidance as well from founding-era authorities addressing the specific question before us: whether foreign nationals, apprehended and detained in distant countries during a time of serious threats to our Nation’s security, may assert the privilege of the writ and seek its protection. The Court has been careful not to foreclose the possibility that the protections of the Suspension Clause have expanded along with post-1789 developments that define the present scope of the writ. But the analysis may begin with precedents as of 1789, for the Court has said that “at the absolute minimum” the Clause protects the writ as it existed when the Constitution was drafted and ratified. </w:t>
      </w:r>
    </w:p>
    <w:p w:rsidR="00CB002F" w:rsidRDefault="00CB002F" w:rsidP="00CB002F">
      <w:pPr>
        <w:pStyle w:val="NormalWeb"/>
        <w:spacing w:before="0" w:beforeAutospacing="0" w:after="0" w:afterAutospacing="0"/>
        <w:ind w:firstLine="720"/>
        <w:jc w:val="both"/>
      </w:pPr>
      <w:r>
        <w:rPr>
          <w:color w:val="000000"/>
        </w:rPr>
        <w:t xml:space="preserve">To support their arguments, the parties in these cases have examined historical sources.... Diligent search by all parties reveals no certain conclusions. In none of the cases cited do we find that a common-law court would or would not have granted, or refused to hear for lack of jurisdiction, a petition for a writ of habeas corpus brought by a prisoner deemed an enemy combatant, under a standard like the one the Department of Defense has used in these cases, and when held in a territory, like Guantanamo, over which the Government has total military and civil control. </w:t>
      </w:r>
    </w:p>
    <w:p w:rsidR="00CB002F" w:rsidRDefault="00CB002F" w:rsidP="00CB002F">
      <w:pPr>
        <w:pStyle w:val="NormalWeb"/>
        <w:spacing w:before="0" w:beforeAutospacing="0" w:after="0" w:afterAutospacing="0"/>
        <w:ind w:firstLine="720"/>
        <w:jc w:val="both"/>
      </w:pPr>
      <w:r>
        <w:rPr>
          <w:color w:val="000000"/>
        </w:rPr>
        <w:t xml:space="preserve">We know that at common law a petitioner’s status as an alien was not a categorical bar to habeas corpus relief. We know as well that common-law courts entertained habeas petitions brought by enemy aliens detained in England—“entertained” at least in the sense that the courts held hearings to determine the threshold question of entitlement to the writ. . . . </w:t>
      </w:r>
    </w:p>
    <w:p w:rsidR="00CB002F" w:rsidRDefault="00CB002F" w:rsidP="00CB002F">
      <w:pPr>
        <w:pStyle w:val="NormalWeb"/>
        <w:spacing w:before="0" w:beforeAutospacing="0" w:after="0" w:afterAutospacing="0"/>
        <w:ind w:firstLine="720"/>
        <w:jc w:val="both"/>
      </w:pPr>
      <w:r>
        <w:rPr>
          <w:color w:val="000000"/>
        </w:rPr>
        <w:t>We find the evidence as to the geographic scope of the writ at common law informative, but, again, not dispositive. . . .</w:t>
      </w:r>
    </w:p>
    <w:p w:rsidR="00CB002F" w:rsidRDefault="00CB002F" w:rsidP="00CB002F">
      <w:pPr>
        <w:pStyle w:val="NormalWeb"/>
        <w:spacing w:before="0" w:beforeAutospacing="0" w:after="0" w:afterAutospacing="0"/>
        <w:ind w:firstLine="720"/>
        <w:jc w:val="both"/>
      </w:pPr>
      <w:r>
        <w:rPr>
          <w:color w:val="000000"/>
        </w:rPr>
        <w:t xml:space="preserve"> In the end a categorical or formal conception of sovereignty does not provide a comprehensive or altogether satisfactory explanation for the general understanding that prevailed when Lord Mansfield considered issuance of the writ outside England. . . . </w:t>
      </w:r>
    </w:p>
    <w:p w:rsidR="00CB002F" w:rsidRDefault="00CB002F" w:rsidP="00CB002F">
      <w:pPr>
        <w:pStyle w:val="NormalWeb"/>
        <w:spacing w:before="0" w:beforeAutospacing="0" w:after="0" w:afterAutospacing="0"/>
        <w:ind w:firstLine="720"/>
        <w:jc w:val="both"/>
      </w:pPr>
      <w:r>
        <w:rPr>
          <w:color w:val="000000"/>
        </w:rPr>
        <w:t>The prudential barriers that may have prevented the English courts from issuing the writ to Scotland and Hanover are not relevant here. We have no reason to believe an order from a federal court would be disobeyed at Guantanamo. No Cuban court has jurisdiction to hear these petitioners’ claims, and no law other than the laws of the United States applies at the naval station. The modern-day relations between the United States and Guantanamo thus differ in important respects from the 18th-century relations between England and the kingdoms of Scotland and Hanover. This is reason enough for us to discount the relevance of the Government’s analogy.</w:t>
      </w:r>
    </w:p>
    <w:p w:rsidR="00CB002F" w:rsidRDefault="00CB002F" w:rsidP="00CB002F">
      <w:pPr>
        <w:pStyle w:val="NormalWeb"/>
        <w:spacing w:before="0" w:beforeAutospacing="0" w:after="0" w:afterAutospacing="0"/>
        <w:ind w:firstLine="720"/>
        <w:jc w:val="both"/>
      </w:pPr>
      <w:r>
        <w:rPr>
          <w:color w:val="000000"/>
        </w:rPr>
        <w:t xml:space="preserve"> Each side in the present matter argues that the very lack of a precedent on point supports its position. . . . </w:t>
      </w:r>
    </w:p>
    <w:p w:rsidR="00CB002F" w:rsidRDefault="00CB002F" w:rsidP="00CB002F">
      <w:pPr>
        <w:pStyle w:val="NormalWeb"/>
        <w:spacing w:before="0" w:beforeAutospacing="0" w:after="0" w:afterAutospacing="0"/>
        <w:ind w:firstLine="720"/>
        <w:jc w:val="both"/>
      </w:pPr>
      <w:r>
        <w:rPr>
          <w:color w:val="000000"/>
        </w:rPr>
        <w:t xml:space="preserve">Both arguments are premised, however, upon the assumption that the historical record is complete and that the common law, if properly understood, yields a definite answer to the </w:t>
      </w:r>
      <w:r>
        <w:rPr>
          <w:color w:val="000000"/>
        </w:rPr>
        <w:lastRenderedPageBreak/>
        <w:t xml:space="preserve">questions before us. There are reasons to doubt both assumptions. . . . And given the unique status of Guantanamo Bay and the particular dangers of terrorism in the modern age, the common-law courts simply may not have confronted cases with close parallels to this one. We decline, therefore, to infer too much, one way or the other, from the lack of historical evidence on point. </w:t>
      </w:r>
    </w:p>
    <w:p w:rsidR="00CB002F" w:rsidRDefault="00CB002F" w:rsidP="00CB002F">
      <w:pPr>
        <w:pStyle w:val="NormalWeb"/>
        <w:spacing w:before="0" w:beforeAutospacing="0" w:after="0" w:afterAutospacing="0"/>
        <w:ind w:firstLine="720"/>
        <w:jc w:val="both"/>
      </w:pPr>
      <w:r>
        <w:rPr>
          <w:color w:val="000000"/>
        </w:rPr>
        <w:t xml:space="preserve">IV. Drawing from its position that at common law the writ ran only to territories over which the Crown was sovereign, the Government says the Suspension Clause affords petitioners no rights because the United States does not claim sovereignty over the place of detention. </w:t>
      </w:r>
    </w:p>
    <w:p w:rsidR="00CB002F" w:rsidRDefault="00CB002F" w:rsidP="00CB002F">
      <w:pPr>
        <w:pStyle w:val="NormalWeb"/>
        <w:spacing w:before="0" w:beforeAutospacing="0" w:after="0" w:afterAutospacing="0"/>
        <w:ind w:firstLine="720"/>
        <w:jc w:val="both"/>
      </w:pPr>
      <w:r>
        <w:rPr>
          <w:color w:val="000000"/>
        </w:rPr>
        <w:t xml:space="preserve">Guantanamo Bay is not formally part of the United States. And under the terms of the lease between the United States and Cuba, Cuba retains “ultimate sovereignty” over the territory while the United States exercises “complete jurisdiction and control.” . . . </w:t>
      </w:r>
    </w:p>
    <w:p w:rsidR="00CB002F" w:rsidRDefault="00CB002F" w:rsidP="00CB002F">
      <w:pPr>
        <w:pStyle w:val="NormalWeb"/>
        <w:spacing w:before="0" w:beforeAutospacing="0" w:after="0" w:afterAutospacing="0"/>
        <w:ind w:firstLine="720"/>
        <w:jc w:val="both"/>
      </w:pPr>
      <w:r>
        <w:rPr>
          <w:color w:val="000000"/>
        </w:rPr>
        <w:t>[H]</w:t>
      </w:r>
      <w:proofErr w:type="spellStart"/>
      <w:r>
        <w:rPr>
          <w:color w:val="000000"/>
        </w:rPr>
        <w:t>owever</w:t>
      </w:r>
      <w:proofErr w:type="spellEnd"/>
      <w:r>
        <w:rPr>
          <w:color w:val="000000"/>
        </w:rPr>
        <w:t>, we take notice of the obvious and uncontested fact that the United States, by virtue of its complete jurisdiction and control over the base, maintains de facto sovereignty over this territory. Were we to hold that the present cases turn on the political question doctrine, we would be required first to accept the Government’s premise that de jure sovereignty is the touchstone of habeas corpus jurisdiction. This premise, however, is unfounded. For the reasons indicated above, the history of common-law habeas corpus provides scant support for this proposition; and, for the reasons indicated below, that position would be inconsistent with our precedents and contrary to fundamental separation-of-powers Principles.</w:t>
      </w:r>
    </w:p>
    <w:p w:rsidR="00CB002F" w:rsidRDefault="00CB002F" w:rsidP="00CB002F">
      <w:pPr>
        <w:pStyle w:val="NormalWeb"/>
        <w:spacing w:before="0" w:beforeAutospacing="0" w:after="0" w:afterAutospacing="0"/>
        <w:ind w:firstLine="720"/>
        <w:jc w:val="both"/>
      </w:pPr>
      <w:r>
        <w:rPr>
          <w:color w:val="000000"/>
        </w:rPr>
        <w:t xml:space="preserve"> IV-A. The Court has discussed the issue of the Constitution’s extraterritorial application on many occasions. These decisions undermine the Government’s argument that, at least as applied to noncitizens, the Constitution necessarily stops where de jure sovereignty ends.</w:t>
      </w:r>
    </w:p>
    <w:p w:rsidR="00CB002F" w:rsidRDefault="00CB002F" w:rsidP="00CB002F">
      <w:pPr>
        <w:pStyle w:val="NormalWeb"/>
        <w:spacing w:before="0" w:beforeAutospacing="0" w:after="0" w:afterAutospacing="0"/>
        <w:ind w:firstLine="720"/>
        <w:jc w:val="both"/>
      </w:pPr>
      <w:r>
        <w:rPr>
          <w:color w:val="000000"/>
        </w:rPr>
        <w:t xml:space="preserve"> The Framers foresaw that the United States would expand and acquire new territories. Save for a few notable (and notorious) exceptions, e.g., Dred Scott v. Sandford (1857), throughout most of our history there was little need to explore the outer boundaries of the Constitution’s geographic reach. When Congress exercised its power to create new territories, it guaranteed constitutional protections to the inhabitants by statute. In particular, there was no need to test the limits of the Suspension Clause because, as early as 1789, Congress extended the writ to the Territories. </w:t>
      </w:r>
    </w:p>
    <w:p w:rsidR="00CB002F" w:rsidRDefault="00CB002F" w:rsidP="00CB002F">
      <w:pPr>
        <w:pStyle w:val="NormalWeb"/>
        <w:spacing w:before="0" w:beforeAutospacing="0" w:after="0" w:afterAutospacing="0"/>
        <w:ind w:firstLine="720"/>
        <w:jc w:val="both"/>
      </w:pPr>
      <w:r>
        <w:rPr>
          <w:color w:val="000000"/>
        </w:rPr>
        <w:t>Fundamental questions regarding the Constitution’s geographic scope first arose at the dawn of the 20th century when the Nation acquired noncontiguous Territories: Puerto Rico, Guam, and the Philippines—ceded to the United States by Spain at the conclusion of the Spanish-American War—and Hawaii, annexed by the United States in 1898. At this point Congress chose to discontinue its previous practice of extending constitutional rights to the territories by statute.</w:t>
      </w:r>
    </w:p>
    <w:p w:rsidR="00CB002F" w:rsidRDefault="00CB002F" w:rsidP="00CB002F">
      <w:pPr>
        <w:pStyle w:val="NormalWeb"/>
        <w:spacing w:before="0" w:beforeAutospacing="0" w:after="0" w:afterAutospacing="0"/>
        <w:ind w:firstLine="720"/>
        <w:jc w:val="both"/>
      </w:pPr>
      <w:r>
        <w:rPr>
          <w:color w:val="000000"/>
        </w:rPr>
        <w:t xml:space="preserve"> In a series of opinions later known as the Insular Cases, the Court addressed whether the Constitution, by its own force, applies in any territory that is not a State. The Court held that the Constitution has independent force in these territories, a force not contingent upon acts of legislative grace. Yet it took note of the difficulties inherent in that position. </w:t>
      </w:r>
    </w:p>
    <w:p w:rsidR="00CB002F" w:rsidRDefault="00CB002F" w:rsidP="00CB002F">
      <w:pPr>
        <w:pStyle w:val="NormalWeb"/>
        <w:spacing w:before="0" w:beforeAutospacing="0" w:after="0" w:afterAutospacing="0"/>
        <w:ind w:firstLine="720"/>
        <w:jc w:val="both"/>
      </w:pPr>
      <w:r>
        <w:rPr>
          <w:color w:val="000000"/>
        </w:rPr>
        <w:t xml:space="preserve">Prior to their cession to the United States, the former Spanish colonies operated under a civil-law system, without experience in the various aspects of the Anglo-American legal tradition. At least with regard to the Philippines, a complete transformation of the prevailing legal culture would have been not only disruptive but also unnecessary, as the United States intended to grant independence to that Territory. . . . </w:t>
      </w:r>
    </w:p>
    <w:p w:rsidR="00CB002F" w:rsidRDefault="00CB002F" w:rsidP="00CB002F">
      <w:pPr>
        <w:pStyle w:val="NormalWeb"/>
        <w:spacing w:before="0" w:beforeAutospacing="0" w:after="0" w:afterAutospacing="0"/>
        <w:ind w:firstLine="720"/>
        <w:jc w:val="both"/>
      </w:pPr>
      <w:r>
        <w:rPr>
          <w:color w:val="000000"/>
        </w:rPr>
        <w:t xml:space="preserve">These considerations resulted in the doctrine of territorial incorporation, under which the Constitution applies in full in incorporated Territories surely destined for statehood but only in part in unincorporated Territories. It may well be that over time the ties between the United States and any of its unincorporated Territories strengthen in ways that are of constitutional significance. </w:t>
      </w:r>
      <w:r>
        <w:rPr>
          <w:color w:val="000000"/>
        </w:rPr>
        <w:lastRenderedPageBreak/>
        <w:t xml:space="preserve">But, as early as . . . 1922, the Court took for granted that even in unincorporated Territories the Government of the United States was bound to provide to noncitizen inhabitants “guaranties of certain fundamental personal rights declared in the Constitution.” Yet noting the inherent practical difficulties of enforcing all constitutional provisions “always and everywhere,” the Court devised in the Insular Cases a doctrine that allowed it to use its power sparingly and where it would be most needed. . . . </w:t>
      </w:r>
    </w:p>
    <w:p w:rsidR="00CB002F" w:rsidRDefault="00CB002F" w:rsidP="00CB002F">
      <w:pPr>
        <w:pStyle w:val="NormalWeb"/>
        <w:spacing w:before="0" w:beforeAutospacing="0" w:after="0" w:afterAutospacing="0"/>
        <w:ind w:firstLine="720"/>
        <w:jc w:val="both"/>
      </w:pPr>
      <w:r>
        <w:rPr>
          <w:color w:val="000000"/>
        </w:rPr>
        <w:t xml:space="preserve">Practical considerations likewise influenced the Court’s analysis a half-century later in Reid v. Covert (1957). The petitioners there, spouses of American servicemen, lived on American military bases in England and Japan. They were charged with crimes committed in those countries and tried before military courts, consistent with executive agreements the United States had entered into with the British and Japanese governments. Because the petitioners were not themselves military personnel, they argued they were entitled to trial by jury. </w:t>
      </w:r>
    </w:p>
    <w:p w:rsidR="00CB002F" w:rsidRDefault="00CB002F" w:rsidP="00CB002F">
      <w:pPr>
        <w:pStyle w:val="NormalWeb"/>
        <w:spacing w:before="0" w:beforeAutospacing="0" w:after="0" w:afterAutospacing="0"/>
        <w:ind w:firstLine="720"/>
        <w:jc w:val="both"/>
      </w:pPr>
      <w:r>
        <w:rPr>
          <w:color w:val="000000"/>
        </w:rPr>
        <w:t xml:space="preserve">Justice Black, writing for the plurality, contrasted the cases before him with the Insular Cases, which involved territories “with wholly dissimilar traditions and institutions” that Congress intended to govern only “temporarily.” Justice Frankfurter argued that the “specific circumstances of each particular case” are relevant in determining the geographic scope of the Constitution. And Justice Harlan, who had joined an opinion reaching the opposite result in the case in the previous Term, was most explicit in rejecting a “rigid and abstract rule” for determining where constitutional guarantees extend. He read the Insular Cases to teach that whether a constitutional provision has extraterritorial effect depends upon the “particular circumstances, the practical necessities, and the possible alternatives which Congress had before it” and, in particular, whether judicial enforcement of the provision would be “impracticable and anomalous.” </w:t>
      </w:r>
    </w:p>
    <w:p w:rsidR="00CB002F" w:rsidRDefault="00CB002F" w:rsidP="00CB002F">
      <w:pPr>
        <w:pStyle w:val="NormalWeb"/>
        <w:spacing w:before="0" w:beforeAutospacing="0" w:after="0" w:afterAutospacing="0"/>
        <w:ind w:firstLine="720"/>
        <w:jc w:val="both"/>
      </w:pPr>
      <w:r>
        <w:rPr>
          <w:color w:val="000000"/>
        </w:rPr>
        <w:t xml:space="preserve">That the petitioners in Reid were American citizens was a key factor in the case and was central to the plurality’s conclusion that the 5th and 6th Amendments apply to American civilians tried outside the United States. But practical considerations, related not to the petitioners’ citizenship but to the place of their confinement and trial, were relevant to each Member of the Reid majority. And to Justices Harlan and Frankfurter (whose votes were necessary to the Court’s disposition) these considerations were the decisive factors in the case. </w:t>
      </w:r>
    </w:p>
    <w:p w:rsidR="00CB002F" w:rsidRDefault="00CB002F" w:rsidP="00CB002F">
      <w:pPr>
        <w:pStyle w:val="NormalWeb"/>
        <w:spacing w:before="0" w:beforeAutospacing="0" w:after="0" w:afterAutospacing="0"/>
        <w:ind w:firstLine="720"/>
        <w:jc w:val="both"/>
      </w:pPr>
      <w:r>
        <w:rPr>
          <w:color w:val="000000"/>
        </w:rPr>
        <w:t xml:space="preserve">Indeed the majority splintered on this very point. The key disagreement . . . was over . . . the Court’s previous opinion in In re Ross (1891). The petitioner in Ross was a sailor serving on an American merchant vessel in Japanese waters who was tried before an American consular tribunal for the murder of a fellow crewman. The Ross Court held that the petitioner, who was a British subject, had no rights under the 5th and 6th Amendments. The petitioner’s citizenship played no role in the disposition of the case, however. The Court assumed (consistent with the maritime custom of the time) that Ross had all the rights of a similarly situated American citizen (noting that Ross was “under the protection and subject to the laws of the United States equally with the seaman who was native born”). The Justices in Reid therefore properly understood Ross as standing for the proposition that, at least in some circumstances, the jury provisions of the 5th and 6th Amendments have no application to American citizens tried by American authorities abroad. </w:t>
      </w:r>
    </w:p>
    <w:p w:rsidR="00CB002F" w:rsidRDefault="00CB002F" w:rsidP="00CB002F">
      <w:pPr>
        <w:pStyle w:val="NormalWeb"/>
        <w:spacing w:before="0" w:beforeAutospacing="0" w:after="0" w:afterAutospacing="0"/>
        <w:ind w:firstLine="720"/>
        <w:jc w:val="both"/>
      </w:pPr>
      <w:r>
        <w:rPr>
          <w:color w:val="000000"/>
        </w:rPr>
        <w:t xml:space="preserve">The Reid plurality doubted that Ross was rightly decided, precisely because it believed the opinion was insufficiently protective of the rights of American citizens. But Justices Harlan and Frankfurter, while willing to hold that the American citizen petitioners in the cases before them were entitled to the protections of 5th and 6th Amendments, were unwilling to overturn Ross. Instead, the two concurring Justices distinguished Ross </w:t>
      </w:r>
      <w:proofErr w:type="spellStart"/>
      <w:r>
        <w:rPr>
          <w:color w:val="000000"/>
        </w:rPr>
        <w:t>fromthe</w:t>
      </w:r>
      <w:proofErr w:type="spellEnd"/>
      <w:r>
        <w:rPr>
          <w:color w:val="000000"/>
        </w:rPr>
        <w:t xml:space="preserve"> cases before them, not on the basis </w:t>
      </w:r>
      <w:r>
        <w:rPr>
          <w:color w:val="000000"/>
        </w:rPr>
        <w:lastRenderedPageBreak/>
        <w:t xml:space="preserve">of the citizenship of the petitioners, but on practical considerations </w:t>
      </w:r>
      <w:proofErr w:type="spellStart"/>
      <w:r>
        <w:rPr>
          <w:color w:val="000000"/>
        </w:rPr>
        <w:t>thatmade</w:t>
      </w:r>
      <w:proofErr w:type="spellEnd"/>
      <w:r>
        <w:rPr>
          <w:color w:val="000000"/>
        </w:rPr>
        <w:t xml:space="preserve"> jury trial amore feasible option for </w:t>
      </w:r>
      <w:proofErr w:type="spellStart"/>
      <w:r>
        <w:rPr>
          <w:color w:val="000000"/>
        </w:rPr>
        <w:t>themthan</w:t>
      </w:r>
      <w:proofErr w:type="spellEnd"/>
      <w:r>
        <w:rPr>
          <w:color w:val="000000"/>
        </w:rPr>
        <w:t xml:space="preserve"> it was for the petitioner in Ross. . . . </w:t>
      </w:r>
    </w:p>
    <w:p w:rsidR="00CB002F" w:rsidRDefault="00CB002F" w:rsidP="00CB002F">
      <w:pPr>
        <w:pStyle w:val="NormalWeb"/>
        <w:spacing w:before="0" w:beforeAutospacing="0" w:after="0" w:afterAutospacing="0"/>
        <w:ind w:firstLine="720"/>
        <w:jc w:val="both"/>
      </w:pPr>
      <w:r>
        <w:rPr>
          <w:color w:val="000000"/>
        </w:rPr>
        <w:t xml:space="preserve">Practical considerations weighed heavily as well in Johnson v. </w:t>
      </w:r>
      <w:proofErr w:type="spellStart"/>
      <w:r>
        <w:rPr>
          <w:color w:val="000000"/>
        </w:rPr>
        <w:t>Eisentrager</w:t>
      </w:r>
      <w:proofErr w:type="spellEnd"/>
      <w:r>
        <w:rPr>
          <w:color w:val="000000"/>
        </w:rPr>
        <w:t xml:space="preserve"> (1950), where the Court addressed whether habeas corpus jurisdiction extended to enemy aliens who had been convicted of violating the laws of war. The prisoners were detained at </w:t>
      </w:r>
      <w:proofErr w:type="spellStart"/>
      <w:r>
        <w:rPr>
          <w:color w:val="000000"/>
        </w:rPr>
        <w:t>Landsberg</w:t>
      </w:r>
      <w:proofErr w:type="spellEnd"/>
      <w:r>
        <w:rPr>
          <w:color w:val="000000"/>
        </w:rPr>
        <w:t xml:space="preserve"> Prison in Germany during the Allied Powers’ postwar occupation. The Court stressed the difficulties of ordering the Government to produce the prisoners in a habeas corpus proceeding. It “would require allocation of shipping space, guarding personnel, billeting and rations” and would damage the prestige of military commanders at a sensitive time. In considering these factors the Court sought to balance the constraints of military occupation with constitutional necessities. </w:t>
      </w:r>
    </w:p>
    <w:p w:rsidR="00CB002F" w:rsidRDefault="00CB002F" w:rsidP="00CB002F">
      <w:pPr>
        <w:pStyle w:val="NormalWeb"/>
        <w:spacing w:before="0" w:beforeAutospacing="0" w:after="0" w:afterAutospacing="0"/>
        <w:ind w:firstLine="720"/>
        <w:jc w:val="both"/>
      </w:pPr>
      <w:r>
        <w:rPr>
          <w:color w:val="000000"/>
        </w:rPr>
        <w:t xml:space="preserve">True, the Court in </w:t>
      </w:r>
      <w:proofErr w:type="spellStart"/>
      <w:r>
        <w:rPr>
          <w:color w:val="000000"/>
        </w:rPr>
        <w:t>Eisentrager</w:t>
      </w:r>
      <w:proofErr w:type="spellEnd"/>
      <w:r>
        <w:rPr>
          <w:color w:val="000000"/>
        </w:rPr>
        <w:t xml:space="preserve"> denied access to the writ, and it noted the prisoners “at no relevant time were within any territory over which the United States is sovereign, and [that] the scenes of their offense, their capture, their trial and their punishment were all beyond the territorial jurisdiction of any court of the United States.” The Government seizes upon this language as proof positive that the </w:t>
      </w:r>
      <w:proofErr w:type="spellStart"/>
      <w:r>
        <w:rPr>
          <w:color w:val="000000"/>
        </w:rPr>
        <w:t>Eisentrager</w:t>
      </w:r>
      <w:proofErr w:type="spellEnd"/>
      <w:r>
        <w:rPr>
          <w:color w:val="000000"/>
        </w:rPr>
        <w:t xml:space="preserve"> Court adopted a formalistic, sovereignty-based test for determining the reach of the Suspension Clause. We reject this reading for three reasons. </w:t>
      </w:r>
    </w:p>
    <w:p w:rsidR="00CB002F" w:rsidRDefault="00CB002F" w:rsidP="00CB002F">
      <w:pPr>
        <w:pStyle w:val="NormalWeb"/>
        <w:spacing w:before="0" w:beforeAutospacing="0" w:after="0" w:afterAutospacing="0"/>
        <w:ind w:firstLine="720"/>
        <w:jc w:val="both"/>
      </w:pPr>
      <w:r>
        <w:rPr>
          <w:color w:val="000000"/>
        </w:rPr>
        <w:t xml:space="preserve">First, we do not accept the idea that the above-quoted passage from </w:t>
      </w:r>
      <w:proofErr w:type="spellStart"/>
      <w:r>
        <w:rPr>
          <w:color w:val="000000"/>
        </w:rPr>
        <w:t>Eisentrager</w:t>
      </w:r>
      <w:proofErr w:type="spellEnd"/>
      <w:r>
        <w:rPr>
          <w:color w:val="000000"/>
        </w:rPr>
        <w:t xml:space="preserve"> is the only authoritative language in the opinion and that all the rest is dicta. The Court’s further determinations, based on practical considerations, were integral to Part II of its opinion and came before the decision announced its holding. </w:t>
      </w:r>
    </w:p>
    <w:p w:rsidR="00CB002F" w:rsidRDefault="00CB002F" w:rsidP="00CB002F">
      <w:pPr>
        <w:pStyle w:val="NormalWeb"/>
        <w:spacing w:before="0" w:beforeAutospacing="0" w:after="0" w:afterAutospacing="0"/>
        <w:ind w:firstLine="720"/>
        <w:jc w:val="both"/>
      </w:pPr>
      <w:r>
        <w:rPr>
          <w:color w:val="000000"/>
        </w:rPr>
        <w:t xml:space="preserve">Second, because the United States lacked both de jure sovereignty and plenary control over </w:t>
      </w:r>
      <w:proofErr w:type="spellStart"/>
      <w:r>
        <w:rPr>
          <w:color w:val="000000"/>
        </w:rPr>
        <w:t>Landsberg</w:t>
      </w:r>
      <w:proofErr w:type="spellEnd"/>
      <w:r>
        <w:rPr>
          <w:color w:val="000000"/>
        </w:rPr>
        <w:t xml:space="preserve"> Prison, it is far from clear that the </w:t>
      </w:r>
      <w:proofErr w:type="spellStart"/>
      <w:r>
        <w:rPr>
          <w:color w:val="000000"/>
        </w:rPr>
        <w:t>Eisentrager</w:t>
      </w:r>
      <w:proofErr w:type="spellEnd"/>
      <w:r>
        <w:rPr>
          <w:color w:val="000000"/>
        </w:rPr>
        <w:t xml:space="preserve"> Court used the term sovereignty only in the narrow technical sense and not to connote the degree of control the military asserted over the facility. In its principal brief in </w:t>
      </w:r>
      <w:proofErr w:type="spellStart"/>
      <w:r>
        <w:rPr>
          <w:color w:val="000000"/>
        </w:rPr>
        <w:t>Eisentrager</w:t>
      </w:r>
      <w:proofErr w:type="spellEnd"/>
      <w:r>
        <w:rPr>
          <w:color w:val="000000"/>
        </w:rPr>
        <w:t xml:space="preserve">, the Government advocated a bright-line test for determining the scope of the writ, similar to the one it advocates in these cases. Yet the Court mentioned the concept of territorial sovereignty only twice in its opinion. That the Court devoted a significant portion of Part II to a discussion of practical barriers to the running of the writ suggests that the Court was not concerned exclusively with the formal legal status of </w:t>
      </w:r>
      <w:proofErr w:type="spellStart"/>
      <w:r>
        <w:rPr>
          <w:color w:val="000000"/>
        </w:rPr>
        <w:t>Landsberg</w:t>
      </w:r>
      <w:proofErr w:type="spellEnd"/>
      <w:r>
        <w:rPr>
          <w:color w:val="000000"/>
        </w:rPr>
        <w:t xml:space="preserve"> Prison but also with the objective degree of control the United States asserted over it. Even if we assume the </w:t>
      </w:r>
      <w:proofErr w:type="spellStart"/>
      <w:r>
        <w:rPr>
          <w:color w:val="000000"/>
        </w:rPr>
        <w:t>Eisentrager</w:t>
      </w:r>
      <w:proofErr w:type="spellEnd"/>
      <w:r>
        <w:rPr>
          <w:color w:val="000000"/>
        </w:rPr>
        <w:t xml:space="preserve"> Court considered the United States’ lack of formal legal sovereignty over </w:t>
      </w:r>
      <w:proofErr w:type="spellStart"/>
      <w:r>
        <w:rPr>
          <w:color w:val="000000"/>
        </w:rPr>
        <w:t>Landsberg</w:t>
      </w:r>
      <w:proofErr w:type="spellEnd"/>
      <w:r>
        <w:rPr>
          <w:color w:val="000000"/>
        </w:rPr>
        <w:t xml:space="preserve"> Prison as the decisive factor in that case, its holding is not inconsistent with a functional approach to questions of extraterritoriality. The formal legal status of a given territory affects, at least to some extent, the political branches’ control over that territory. De jure sovereignty is a factor that bears upon which constitutional guarantees apply there.</w:t>
      </w:r>
    </w:p>
    <w:p w:rsidR="00CB002F" w:rsidRDefault="00CB002F" w:rsidP="00CB002F">
      <w:pPr>
        <w:pStyle w:val="NormalWeb"/>
        <w:spacing w:before="0" w:beforeAutospacing="0" w:after="0" w:afterAutospacing="0"/>
        <w:ind w:firstLine="720"/>
        <w:jc w:val="both"/>
      </w:pPr>
      <w:r>
        <w:rPr>
          <w:color w:val="000000"/>
        </w:rPr>
        <w:t xml:space="preserve"> Third, if the Government’s reading of </w:t>
      </w:r>
      <w:proofErr w:type="spellStart"/>
      <w:r>
        <w:rPr>
          <w:color w:val="000000"/>
        </w:rPr>
        <w:t>Eisentrager</w:t>
      </w:r>
      <w:proofErr w:type="spellEnd"/>
      <w:r>
        <w:rPr>
          <w:color w:val="000000"/>
        </w:rPr>
        <w:t xml:space="preserve"> were correct, the opinion would have marked not only a change in, but a complete repudiation of, the Insular Cases’ (and later Reid’s) functional approach to questions of extraterritoriality. We cannot accept the Government’s view. Nothing in </w:t>
      </w:r>
      <w:proofErr w:type="spellStart"/>
      <w:r>
        <w:rPr>
          <w:color w:val="000000"/>
        </w:rPr>
        <w:t>Eisentrager</w:t>
      </w:r>
      <w:proofErr w:type="spellEnd"/>
      <w:r>
        <w:rPr>
          <w:color w:val="000000"/>
        </w:rPr>
        <w:t xml:space="preserve"> says that de jure sovereignty is or has ever been the only relevant consideration in determining the geographic reach of the Constitution or of habeas corpus. Were that the case, there would be considerable tension between </w:t>
      </w:r>
      <w:proofErr w:type="spellStart"/>
      <w:r>
        <w:rPr>
          <w:color w:val="000000"/>
        </w:rPr>
        <w:t>Eisentrager</w:t>
      </w:r>
      <w:proofErr w:type="spellEnd"/>
      <w:r>
        <w:rPr>
          <w:color w:val="000000"/>
        </w:rPr>
        <w:t xml:space="preserve">, on the one hand, and the Insular Cases and Reid, on the other. Our cases need not be read to conflict in this manner. A constricted reading of </w:t>
      </w:r>
      <w:proofErr w:type="spellStart"/>
      <w:r>
        <w:rPr>
          <w:color w:val="000000"/>
        </w:rPr>
        <w:t>Eisentrager</w:t>
      </w:r>
      <w:proofErr w:type="spellEnd"/>
      <w:r>
        <w:rPr>
          <w:color w:val="000000"/>
        </w:rPr>
        <w:t xml:space="preserve"> overlooks what we see as a common thread uniting the Insular Cases, </w:t>
      </w:r>
      <w:proofErr w:type="spellStart"/>
      <w:r>
        <w:rPr>
          <w:color w:val="000000"/>
        </w:rPr>
        <w:t>Eisentrager</w:t>
      </w:r>
      <w:proofErr w:type="spellEnd"/>
      <w:r>
        <w:rPr>
          <w:color w:val="000000"/>
        </w:rPr>
        <w:t>, and Reid: the idea that questions of extraterritoriality turn on objective factors and practical concerns, not formalism.</w:t>
      </w:r>
    </w:p>
    <w:p w:rsidR="00CB002F" w:rsidRDefault="00CB002F" w:rsidP="00CB002F">
      <w:pPr>
        <w:pStyle w:val="NormalWeb"/>
        <w:spacing w:before="0" w:beforeAutospacing="0" w:after="0" w:afterAutospacing="0"/>
        <w:ind w:firstLine="720"/>
        <w:jc w:val="both"/>
      </w:pPr>
      <w:r>
        <w:rPr>
          <w:color w:val="000000"/>
        </w:rPr>
        <w:t>IV-B. The Government’s formal sovereignty-based test raises troubling separation-</w:t>
      </w:r>
      <w:proofErr w:type="spellStart"/>
      <w:r>
        <w:rPr>
          <w:color w:val="000000"/>
        </w:rPr>
        <w:t>ofpowers</w:t>
      </w:r>
      <w:proofErr w:type="spellEnd"/>
      <w:r>
        <w:rPr>
          <w:color w:val="000000"/>
        </w:rPr>
        <w:t xml:space="preserve"> concerns as well. The political history of Guantanamo illustrates the deficiencies of this </w:t>
      </w:r>
      <w:r>
        <w:rPr>
          <w:color w:val="000000"/>
        </w:rPr>
        <w:lastRenderedPageBreak/>
        <w:t>approach. The United States has maintained complete and uninterrupted control of the bay for over 100 years. At the close of the Spanish-</w:t>
      </w:r>
      <w:proofErr w:type="spellStart"/>
      <w:r>
        <w:rPr>
          <w:color w:val="000000"/>
        </w:rPr>
        <w:t>AmericanWar</w:t>
      </w:r>
      <w:proofErr w:type="spellEnd"/>
      <w:r>
        <w:rPr>
          <w:color w:val="000000"/>
        </w:rPr>
        <w:t>, Spain ceded control over the entire island of Cuba to the United States and specifically “</w:t>
      </w:r>
      <w:proofErr w:type="spellStart"/>
      <w:r>
        <w:rPr>
          <w:color w:val="000000"/>
        </w:rPr>
        <w:t>relinquishe</w:t>
      </w:r>
      <w:proofErr w:type="spellEnd"/>
      <w:r>
        <w:rPr>
          <w:color w:val="000000"/>
        </w:rPr>
        <w:t>[d] all claim[s] of sovereignty . . . and title.” From the date the treaty with Spain was signed until the Cuban Republic was established on May 20, 1902, the United States governed the territory “in trust” for the benefit of the Cuban people. And although it recognized, by entering into the 1903 Lease Agreement, that Cuba retained “ultimate sovereignty” over Guantanamo, the United States continued to maintain the same plenary control it had enjoyed since 1898. Yet the Government’s view is that the Constitution had no effect there, at least as to noncitizens, because the United States disclaimed sovereignty in the formal sense of the term. The necessary implication of the argument is that by surrendering formal sovereignty over any unincorporated territory to a third party, while at the same time entering into a lease that grants total control over the territory back to the United States, it would be possible for the political branches to govern without legal constraint.</w:t>
      </w:r>
    </w:p>
    <w:p w:rsidR="00CB002F" w:rsidRDefault="00CB002F" w:rsidP="00CB002F">
      <w:pPr>
        <w:pStyle w:val="NormalWeb"/>
        <w:spacing w:before="0" w:beforeAutospacing="0" w:after="0" w:afterAutospacing="0"/>
        <w:ind w:firstLine="720"/>
        <w:jc w:val="both"/>
      </w:pPr>
      <w:r>
        <w:rPr>
          <w:color w:val="000000"/>
        </w:rPr>
        <w:t xml:space="preserve"> Our basic charter cannot be contracted away like this. The Constitution grants Congress and the President the power to acquire, dispose of, and govern territory, not the power to decide when and where its terms apply. Even when the United States acts outside its borders, its powers are not “absolute and unlimited” but are subject “to such restrictions as are expressed in the </w:t>
      </w:r>
      <w:proofErr w:type="spellStart"/>
      <w:r>
        <w:rPr>
          <w:color w:val="000000"/>
        </w:rPr>
        <w:t>Constitution.”Abstaining</w:t>
      </w:r>
      <w:proofErr w:type="spellEnd"/>
      <w:r>
        <w:rPr>
          <w:color w:val="000000"/>
        </w:rPr>
        <w:t xml:space="preserve"> </w:t>
      </w:r>
      <w:proofErr w:type="spellStart"/>
      <w:r>
        <w:rPr>
          <w:color w:val="000000"/>
        </w:rPr>
        <w:t>fromquestions</w:t>
      </w:r>
      <w:proofErr w:type="spellEnd"/>
      <w:r>
        <w:rPr>
          <w:color w:val="000000"/>
        </w:rPr>
        <w:t xml:space="preserve"> involving formal sovereignty and territorial governance is one thing. To hold the political branches have the power to switch the Constitution on or off at will is quite another. The former position reflects this Court’s recognition that certain matters requiring political judgments are best left to the political branches. The latter would permit a striking anomaly in our tripartite system of government, leading to a regime in which Congress and the President, not this Court, say “what the law is.”</w:t>
      </w:r>
    </w:p>
    <w:p w:rsidR="00CB002F" w:rsidRDefault="00CB002F" w:rsidP="00CB002F">
      <w:pPr>
        <w:pStyle w:val="NormalWeb"/>
        <w:spacing w:before="0" w:beforeAutospacing="0" w:after="0" w:afterAutospacing="0"/>
        <w:ind w:firstLine="720"/>
        <w:jc w:val="both"/>
      </w:pPr>
      <w:r>
        <w:rPr>
          <w:color w:val="000000"/>
        </w:rPr>
        <w:t xml:space="preserve"> These concerns have particular bearing upon the Suspension Clause question in the cases now before us, for the writ of habeas corpus is itself an indispensable mechanism for monitoring the separation of powers. The test for determining the scope of this provision must not be subject to </w:t>
      </w:r>
      <w:proofErr w:type="spellStart"/>
      <w:r>
        <w:rPr>
          <w:color w:val="000000"/>
        </w:rPr>
        <w:t>themanipulation</w:t>
      </w:r>
      <w:proofErr w:type="spellEnd"/>
      <w:r>
        <w:rPr>
          <w:color w:val="000000"/>
        </w:rPr>
        <w:t xml:space="preserve"> by those whose power it is designed to restrain.</w:t>
      </w:r>
    </w:p>
    <w:p w:rsidR="00CB002F" w:rsidRDefault="00CB002F" w:rsidP="00CB002F">
      <w:pPr>
        <w:pStyle w:val="NormalWeb"/>
        <w:spacing w:before="0" w:beforeAutospacing="0" w:after="0" w:afterAutospacing="0"/>
        <w:ind w:firstLine="720"/>
        <w:jc w:val="both"/>
      </w:pPr>
      <w:r>
        <w:rPr>
          <w:color w:val="000000"/>
        </w:rPr>
        <w:t xml:space="preserve"> IV-C. . . . [T]he outlines of a framework for determining the reach of the Suspension Clause are suggested by the factors the Court relied upon in </w:t>
      </w:r>
      <w:proofErr w:type="spellStart"/>
      <w:r>
        <w:rPr>
          <w:color w:val="000000"/>
        </w:rPr>
        <w:t>Eisentrager</w:t>
      </w:r>
      <w:proofErr w:type="spellEnd"/>
      <w:r>
        <w:rPr>
          <w:color w:val="000000"/>
        </w:rPr>
        <w:t xml:space="preserve">. In addition to the practical concerns discussed above, the </w:t>
      </w:r>
      <w:proofErr w:type="spellStart"/>
      <w:r>
        <w:rPr>
          <w:color w:val="000000"/>
        </w:rPr>
        <w:t>Eisentrager</w:t>
      </w:r>
      <w:proofErr w:type="spellEnd"/>
      <w:r>
        <w:rPr>
          <w:color w:val="000000"/>
        </w:rPr>
        <w:t xml:space="preserve"> Court found relevant that each petitioner: “(a) is an enemy alien; (b) has never been or resided in the United States; (c) was captured outside of our territory and there held in military custody as a prisoner of war; (d) was tried and convicted by a Military Commission sitting outside the United States; (e) for offenses against laws of war committed outside the United States; (f) and is at all times imprisoned outside the United States.” </w:t>
      </w:r>
    </w:p>
    <w:p w:rsidR="00CB002F" w:rsidRDefault="00CB002F" w:rsidP="00CB002F">
      <w:pPr>
        <w:pStyle w:val="NormalWeb"/>
        <w:spacing w:before="0" w:beforeAutospacing="0" w:after="0" w:afterAutospacing="0"/>
        <w:ind w:firstLine="720"/>
        <w:jc w:val="both"/>
      </w:pPr>
      <w:r>
        <w:rPr>
          <w:color w:val="000000"/>
        </w:rPr>
        <w:t xml:space="preserve">Based on this language from </w:t>
      </w:r>
      <w:proofErr w:type="spellStart"/>
      <w:r>
        <w:rPr>
          <w:color w:val="000000"/>
        </w:rPr>
        <w:t>Eisentrager</w:t>
      </w:r>
      <w:proofErr w:type="spellEnd"/>
      <w:r>
        <w:rPr>
          <w:color w:val="000000"/>
        </w:rPr>
        <w:t xml:space="preserve">, and the reasoning in our other extraterritoriality opinions, we conclude that at least three factors are relevant in determining the reach of the Suspension Clause: (1) the citizenship and status of the detainee and the adequacy of the process through which that status determination was made; (2) the nature of the sites where apprehension and then detention took place; and (3) the practical obstacles inherent in resolving the prisoner’s entitlement to the writ. </w:t>
      </w:r>
    </w:p>
    <w:p w:rsidR="00CB002F" w:rsidRDefault="00CB002F" w:rsidP="00CB002F">
      <w:pPr>
        <w:pStyle w:val="NormalWeb"/>
        <w:spacing w:before="0" w:beforeAutospacing="0" w:after="0" w:afterAutospacing="0"/>
        <w:ind w:firstLine="720"/>
        <w:jc w:val="both"/>
      </w:pPr>
      <w:r>
        <w:rPr>
          <w:color w:val="000000"/>
        </w:rPr>
        <w:t xml:space="preserve">Applying this framework, we note at the onset that the status of these detainees is </w:t>
      </w:r>
      <w:proofErr w:type="spellStart"/>
      <w:r>
        <w:rPr>
          <w:color w:val="000000"/>
        </w:rPr>
        <w:t>amatter</w:t>
      </w:r>
      <w:proofErr w:type="spellEnd"/>
      <w:r>
        <w:rPr>
          <w:color w:val="000000"/>
        </w:rPr>
        <w:t xml:space="preserve"> of dispute. The petitioners, like those in </w:t>
      </w:r>
      <w:proofErr w:type="spellStart"/>
      <w:r>
        <w:rPr>
          <w:color w:val="000000"/>
        </w:rPr>
        <w:t>Eisentrager</w:t>
      </w:r>
      <w:proofErr w:type="spellEnd"/>
      <w:r>
        <w:rPr>
          <w:color w:val="000000"/>
        </w:rPr>
        <w:t xml:space="preserve">, are not American citizens. But the petitioners in </w:t>
      </w:r>
      <w:proofErr w:type="spellStart"/>
      <w:r>
        <w:rPr>
          <w:color w:val="000000"/>
        </w:rPr>
        <w:t>Eisentrager</w:t>
      </w:r>
      <w:proofErr w:type="spellEnd"/>
      <w:r>
        <w:rPr>
          <w:color w:val="000000"/>
        </w:rPr>
        <w:t xml:space="preserve"> did not contest, it seems, the Court’s assertion that they were “enemy alien[s].” In the instant cases, by contrast, the detainees deny they are enemy combatants. They have been afforded some process in CSRT proceedings to determine their status; but, unlike in </w:t>
      </w:r>
      <w:proofErr w:type="spellStart"/>
      <w:r>
        <w:rPr>
          <w:color w:val="000000"/>
        </w:rPr>
        <w:t>Eisentrager</w:t>
      </w:r>
      <w:proofErr w:type="spellEnd"/>
      <w:r>
        <w:rPr>
          <w:color w:val="000000"/>
        </w:rPr>
        <w:t xml:space="preserve">, there has been no trial by military commission for violations of the laws of war. The difference is </w:t>
      </w:r>
      <w:r>
        <w:rPr>
          <w:color w:val="000000"/>
        </w:rPr>
        <w:lastRenderedPageBreak/>
        <w:t xml:space="preserve">not trivial. The records from the </w:t>
      </w:r>
      <w:proofErr w:type="spellStart"/>
      <w:r>
        <w:rPr>
          <w:color w:val="000000"/>
        </w:rPr>
        <w:t>Eisentrager</w:t>
      </w:r>
      <w:proofErr w:type="spellEnd"/>
      <w:r>
        <w:rPr>
          <w:color w:val="000000"/>
        </w:rPr>
        <w:t xml:space="preserve"> trials suggest that, well before the petitioners brought their case to this Court, there had been a rigorous adversarial process to test the legality of their detention. The </w:t>
      </w:r>
      <w:proofErr w:type="spellStart"/>
      <w:r>
        <w:rPr>
          <w:color w:val="000000"/>
        </w:rPr>
        <w:t>Eisentrager</w:t>
      </w:r>
      <w:proofErr w:type="spellEnd"/>
      <w:r>
        <w:rPr>
          <w:color w:val="000000"/>
        </w:rPr>
        <w:t xml:space="preserve"> petitioners were charged by a bill of particulars that made detailed factual allegations against them. To rebut the accusations, they were entitled to representation by counsel, allowed to introduce evidence on their own behalf, and permitted to cross-examine the prosecution’s witnesses. </w:t>
      </w:r>
    </w:p>
    <w:p w:rsidR="00CB002F" w:rsidRDefault="00CB002F" w:rsidP="00CB002F">
      <w:pPr>
        <w:pStyle w:val="NormalWeb"/>
        <w:spacing w:before="0" w:beforeAutospacing="0" w:after="0" w:afterAutospacing="0"/>
        <w:ind w:firstLine="720"/>
        <w:jc w:val="both"/>
      </w:pPr>
      <w:r>
        <w:rPr>
          <w:color w:val="000000"/>
        </w:rPr>
        <w:t xml:space="preserve">In comparison the procedural protections afforded to the detainees in the CSRT hearings are far more limited, and, we conclude, fall well short of the procedures and adversarial mechanisms that would eliminate the need for habeas corpus review. Although the detainee is assigned a “Personal Representative” to assist him during CSRT proceedings, the Secretary of the </w:t>
      </w:r>
      <w:proofErr w:type="spellStart"/>
      <w:r>
        <w:rPr>
          <w:color w:val="000000"/>
        </w:rPr>
        <w:t>Navy’smemorandummakes</w:t>
      </w:r>
      <w:proofErr w:type="spellEnd"/>
      <w:r>
        <w:rPr>
          <w:color w:val="000000"/>
        </w:rPr>
        <w:t xml:space="preserve"> clear that person is not the detainee’s lawyer or even his “advocate.” The Government’s evidence is accorded a presumption of validity. The detainee is allowed to present “reasonably available” evidence, but his ability to rebut the Government’s evidence against him is limited by the circumstances of his confinement and his lack of counsel at this stage. And although the detainee can seek review of his status determination in the Court of Appeals, that review process cannot cure all defects in the earlier proceedings. </w:t>
      </w:r>
    </w:p>
    <w:p w:rsidR="00CB002F" w:rsidRDefault="00CB002F" w:rsidP="00CB002F">
      <w:pPr>
        <w:pStyle w:val="NormalWeb"/>
        <w:spacing w:before="0" w:beforeAutospacing="0" w:after="0" w:afterAutospacing="0"/>
        <w:ind w:firstLine="720"/>
        <w:jc w:val="both"/>
      </w:pPr>
      <w:r>
        <w:rPr>
          <w:color w:val="000000"/>
        </w:rPr>
        <w:t xml:space="preserve">As to the second factor relevant to this analysis, the detainees here are similarly situated to the </w:t>
      </w:r>
      <w:proofErr w:type="spellStart"/>
      <w:r>
        <w:rPr>
          <w:color w:val="000000"/>
        </w:rPr>
        <w:t>Eisentrager</w:t>
      </w:r>
      <w:proofErr w:type="spellEnd"/>
      <w:r>
        <w:rPr>
          <w:color w:val="000000"/>
        </w:rPr>
        <w:t xml:space="preserve"> petitioners in that the sites of their apprehension and detention are technically outside the sovereign territory of the United States. As noted earlier, this is a factor that weighs against finding they have rights under the Suspension Clause. But there are critical differences between </w:t>
      </w:r>
      <w:proofErr w:type="spellStart"/>
      <w:r>
        <w:rPr>
          <w:color w:val="000000"/>
        </w:rPr>
        <w:t>Landsberg</w:t>
      </w:r>
      <w:proofErr w:type="spellEnd"/>
      <w:r>
        <w:rPr>
          <w:color w:val="000000"/>
        </w:rPr>
        <w:t xml:space="preserve"> Prison, circa 1950, and the United States Naval Station at Guantanamo Bay in 2008. Unlike its present control over the naval station, the United States’ control over the prison in Germany was neither absolute nor indefinite. Like all parts of occupied Germany, the prison was under the jurisdiction of the combined Allied Forces. The United States was therefore answerable to its Allies for all activities occurring there. </w:t>
      </w:r>
      <w:proofErr w:type="spellStart"/>
      <w:r>
        <w:rPr>
          <w:color w:val="000000"/>
        </w:rPr>
        <w:t>Hirota</w:t>
      </w:r>
      <w:proofErr w:type="spellEnd"/>
      <w:r>
        <w:rPr>
          <w:color w:val="000000"/>
        </w:rPr>
        <w:t xml:space="preserve"> v. MacArthur (1948) (military tribunal set up by Gen. Douglas MacArthur, acting as “the agent of the Allied Powers,” was not a “tribunal of the United States”). The Allies had not planned a long-term occupation of Germany, nor did they intend to displace all German institutions even during the period of occupation. The Court’s holding in </w:t>
      </w:r>
      <w:proofErr w:type="spellStart"/>
      <w:r>
        <w:rPr>
          <w:color w:val="000000"/>
        </w:rPr>
        <w:t>Eisentrager</w:t>
      </w:r>
      <w:proofErr w:type="spellEnd"/>
      <w:r>
        <w:rPr>
          <w:color w:val="000000"/>
        </w:rPr>
        <w:t xml:space="preserve"> was thus consistent with the Insular Cases, where it had held there was no need to extend full constitutional protections to territories the United States did not intend to govern indefinitely. Guantanamo Bay, on the other hand, is no transient possession. In every practical sense Guantanamo is not abroad; it is within the constant jurisdiction of the United States. </w:t>
      </w:r>
    </w:p>
    <w:p w:rsidR="00CB002F" w:rsidRDefault="00CB002F" w:rsidP="00CB002F">
      <w:pPr>
        <w:pStyle w:val="NormalWeb"/>
        <w:spacing w:before="0" w:beforeAutospacing="0" w:after="0" w:afterAutospacing="0"/>
        <w:ind w:firstLine="720"/>
        <w:jc w:val="both"/>
      </w:pPr>
      <w:r>
        <w:rPr>
          <w:color w:val="000000"/>
        </w:rPr>
        <w:t xml:space="preserve">As to the third factor, we recognize, as the Court did in </w:t>
      </w:r>
      <w:proofErr w:type="spellStart"/>
      <w:r>
        <w:rPr>
          <w:color w:val="000000"/>
        </w:rPr>
        <w:t>Eisentrager</w:t>
      </w:r>
      <w:proofErr w:type="spellEnd"/>
      <w:r>
        <w:rPr>
          <w:color w:val="000000"/>
        </w:rPr>
        <w:t xml:space="preserve">, that there are costs to holding the Suspension Clause applicable in a case of military detention abroad. Habeas corpus proceedings may require expenditure of funds by the Government and may divert the attention of military personnel from other pressing tasks. While we are sensitive to these concerns, we do not find them dispositive. Compliance with any judicial process requires some incremental expenditure of resources. Yet civilian courts and the Armed Forces have functioned along side each other at various points in our history. See, e.g., Duncan v. </w:t>
      </w:r>
      <w:proofErr w:type="spellStart"/>
      <w:r>
        <w:rPr>
          <w:color w:val="000000"/>
        </w:rPr>
        <w:t>Kahanamoku</w:t>
      </w:r>
      <w:proofErr w:type="spellEnd"/>
      <w:r>
        <w:rPr>
          <w:color w:val="000000"/>
        </w:rPr>
        <w:t xml:space="preserve"> (1946); Ex </w:t>
      </w:r>
      <w:proofErr w:type="spellStart"/>
      <w:r>
        <w:rPr>
          <w:color w:val="000000"/>
        </w:rPr>
        <w:t>parte</w:t>
      </w:r>
      <w:proofErr w:type="spellEnd"/>
      <w:r>
        <w:rPr>
          <w:color w:val="000000"/>
        </w:rPr>
        <w:t xml:space="preserve"> Milligan (1866). The Government presents no credible arguments that the military mission at Guantanamo would be compromised if habeas corpus courts had jurisdiction to hear the detainees’ claims. And in light of the plenary control the United States asserts over the base, none are apparent to us. </w:t>
      </w:r>
    </w:p>
    <w:p w:rsidR="00CB002F" w:rsidRDefault="00CB002F" w:rsidP="00CB002F">
      <w:pPr>
        <w:pStyle w:val="NormalWeb"/>
        <w:spacing w:before="0" w:beforeAutospacing="0" w:after="0" w:afterAutospacing="0"/>
        <w:ind w:firstLine="720"/>
        <w:jc w:val="both"/>
      </w:pPr>
      <w:r>
        <w:rPr>
          <w:color w:val="000000"/>
        </w:rPr>
        <w:t xml:space="preserve">The situation in </w:t>
      </w:r>
      <w:proofErr w:type="spellStart"/>
      <w:r>
        <w:rPr>
          <w:color w:val="000000"/>
        </w:rPr>
        <w:t>Eisentrager</w:t>
      </w:r>
      <w:proofErr w:type="spellEnd"/>
      <w:r>
        <w:rPr>
          <w:color w:val="000000"/>
        </w:rPr>
        <w:t xml:space="preserve"> was far different, given the historical context and nature of the military’s mission in post-War Germany. When hostilities in the European Theater came to an end, the United States became responsible for an occupation zone encompassing over 57,000 square </w:t>
      </w:r>
      <w:r>
        <w:rPr>
          <w:color w:val="000000"/>
        </w:rPr>
        <w:lastRenderedPageBreak/>
        <w:t xml:space="preserve">miles with a population of 18 million. In addition to supervising massive reconstruction and aid efforts the American forces stationed in Germany faced potential security threats from a defeated enemy. In retrospect the post-War occupation may seem uneventful. But at the time </w:t>
      </w:r>
      <w:proofErr w:type="spellStart"/>
      <w:r>
        <w:rPr>
          <w:color w:val="000000"/>
        </w:rPr>
        <w:t>Eisentrager</w:t>
      </w:r>
      <w:proofErr w:type="spellEnd"/>
      <w:r>
        <w:rPr>
          <w:color w:val="000000"/>
        </w:rPr>
        <w:t xml:space="preserve"> was decided, the Court was right to be concerned about judicial interference with the military’s efforts to contain “enemy elements, guerrilla fighters, and ‘were-wolves.’”</w:t>
      </w:r>
    </w:p>
    <w:p w:rsidR="00CB002F" w:rsidRDefault="00CB002F" w:rsidP="00CB002F">
      <w:pPr>
        <w:pStyle w:val="NormalWeb"/>
        <w:spacing w:before="0" w:beforeAutospacing="0" w:after="0" w:afterAutospacing="0"/>
        <w:ind w:firstLine="720"/>
        <w:jc w:val="both"/>
      </w:pPr>
      <w:r>
        <w:rPr>
          <w:color w:val="000000"/>
        </w:rPr>
        <w:t xml:space="preserve"> Similar threats are not apparent here; nor does the Government argue that they are. . . . </w:t>
      </w:r>
    </w:p>
    <w:p w:rsidR="00CB002F" w:rsidRDefault="00CB002F" w:rsidP="00CB002F">
      <w:pPr>
        <w:pStyle w:val="NormalWeb"/>
        <w:spacing w:before="0" w:beforeAutospacing="0" w:after="0" w:afterAutospacing="0"/>
        <w:ind w:firstLine="720"/>
        <w:jc w:val="both"/>
      </w:pPr>
      <w:r>
        <w:rPr>
          <w:color w:val="000000"/>
        </w:rPr>
        <w:t xml:space="preserve">It is true that before today the Court has never held that noncitizens detained by our Government in territory over which another country maintains de jure sovereignty have any rights under our Constitution. But the cases before us lack any precise historical parallel. They involve individuals detained by executive order for the duration of a conflict that, if measured from September 11, 2001, to the present, is already among the longest wars in American history. The detainees, moreover, are held in a territory that, while technically not part of the United States, is under the complete and total control of our Government. Under these circumstances the lack of a precedent on point is no barrier to our holding. </w:t>
      </w:r>
    </w:p>
    <w:p w:rsidR="00CB002F" w:rsidRDefault="00CB002F" w:rsidP="00CB002F">
      <w:pPr>
        <w:pStyle w:val="NormalWeb"/>
        <w:spacing w:before="0" w:beforeAutospacing="0" w:after="0" w:afterAutospacing="0"/>
        <w:ind w:firstLine="720"/>
        <w:jc w:val="both"/>
      </w:pPr>
      <w:r>
        <w:rPr>
          <w:color w:val="000000"/>
        </w:rPr>
        <w:t xml:space="preserve">We hold that Art. I, §9, cl. 2, of the Constitution has full effect at Guantanamo Bay. If the privilege of habeas corpus is to be denied to the detainees now before us, Congress must act in accordance with the requirements of the Suspension Clause. The MCA does not purport to be a formal suspension of the writ; and the Government, in its submissions to us, has not argued that it is. Petitioners, therefore, are entitled to the privilege of habeas corpus to challenge the legality of their detention. </w:t>
      </w:r>
    </w:p>
    <w:p w:rsidR="00CB002F" w:rsidRDefault="00CB002F" w:rsidP="00CB002F">
      <w:pPr>
        <w:pStyle w:val="NormalWeb"/>
        <w:spacing w:before="0" w:beforeAutospacing="0" w:after="0" w:afterAutospacing="0"/>
        <w:ind w:firstLine="720"/>
        <w:jc w:val="both"/>
      </w:pPr>
      <w:r>
        <w:rPr>
          <w:color w:val="000000"/>
        </w:rPr>
        <w:t>V. In light of this holding the question becomes whether the statute stripping jurisdiction to issue the writ avoids the Suspension Clause mandate because Congress has provided adequate substitute procedures for habeas corpus. The Government submits there has been compliance with the Suspension Clause because the DTA review process in the Court of Appeals, see DTA § 1005(e), provides an adequate substitute. Congress has granted that court jurisdiction to consider “(</w:t>
      </w:r>
      <w:proofErr w:type="spellStart"/>
      <w:r>
        <w:rPr>
          <w:color w:val="000000"/>
        </w:rPr>
        <w:t>i</w:t>
      </w:r>
      <w:proofErr w:type="spellEnd"/>
      <w:r>
        <w:rPr>
          <w:color w:val="000000"/>
        </w:rPr>
        <w:t xml:space="preserve">) whether the status determination of the [CSRT] . . . was consistent with the standards and procedures specified by the Secretary of Defense . . . and (ii) to the extent the Constitution and laws of the United States are applicable, whether the use of such standards and procedures to make the determination is consistent with the Constitution and laws of the United States.” </w:t>
      </w:r>
    </w:p>
    <w:p w:rsidR="00CB002F" w:rsidRDefault="00CB002F" w:rsidP="00CB002F">
      <w:pPr>
        <w:pStyle w:val="NormalWeb"/>
        <w:spacing w:before="0" w:beforeAutospacing="0" w:after="0" w:afterAutospacing="0"/>
        <w:ind w:firstLine="720"/>
        <w:jc w:val="both"/>
      </w:pPr>
      <w:r>
        <w:rPr>
          <w:color w:val="000000"/>
        </w:rPr>
        <w:t>The Court of Appeals, having decided that the writ does not run to the detainees in any event, found it unnecessary to consider whether an adequate substitute has been provided. In the ordinary course we would remand to the Court of Appeals to consider this question in the first instance. It is well settled, however, that the Court’s practice of declining to address issues left unresolved in earlier proceedings is not an inflexible rule.</w:t>
      </w:r>
    </w:p>
    <w:p w:rsidR="00CB002F" w:rsidRDefault="00CB002F" w:rsidP="00CB002F">
      <w:pPr>
        <w:pStyle w:val="NormalWeb"/>
        <w:spacing w:before="0" w:beforeAutospacing="0" w:after="0" w:afterAutospacing="0"/>
        <w:ind w:firstLine="720"/>
        <w:jc w:val="both"/>
      </w:pPr>
      <w:r>
        <w:rPr>
          <w:color w:val="000000"/>
        </w:rPr>
        <w:t xml:space="preserve"> The gravity of the separation-of-powers issues raised by these cases and the fact that these detainees have been denied meaningful access to a judicial forum for a period of years render these cases exceptional. . . . Although the Court of Appeals has yet to complete a DTA review proceeding, the three-judge panel in </w:t>
      </w:r>
      <w:proofErr w:type="spellStart"/>
      <w:r>
        <w:rPr>
          <w:color w:val="000000"/>
        </w:rPr>
        <w:t>Bismullah</w:t>
      </w:r>
      <w:proofErr w:type="spellEnd"/>
      <w:r>
        <w:rPr>
          <w:color w:val="000000"/>
        </w:rPr>
        <w:t xml:space="preserve"> v. Gates (2007) has issued an interim order giving guidance as to what evidence can be made part of the record on review and what access the detainees can have to counsel and to classified information. . . . </w:t>
      </w:r>
    </w:p>
    <w:p w:rsidR="00CB002F" w:rsidRDefault="00CB002F" w:rsidP="00CB002F">
      <w:pPr>
        <w:pStyle w:val="NormalWeb"/>
        <w:spacing w:before="0" w:beforeAutospacing="0" w:after="0" w:afterAutospacing="0"/>
        <w:ind w:firstLine="720"/>
        <w:jc w:val="both"/>
      </w:pPr>
      <w:r>
        <w:rPr>
          <w:color w:val="000000"/>
        </w:rPr>
        <w:t xml:space="preserve">V-A. Our case law does not contain extensive discussion of standards defining suspension of the writ or of circumstances under which suspension has occurred. This simply confirms the care Congress has taken throughout our Nation’s history to preserve the writ and its function. Indeed, most of the major legislative enactments pertaining to habeas corpus have acted not to contract the writ’s protection but to expand it or to hasten resolution of prisoners’ claims. . . . </w:t>
      </w:r>
    </w:p>
    <w:p w:rsidR="00CB002F" w:rsidRDefault="00CB002F" w:rsidP="00CB002F">
      <w:pPr>
        <w:pStyle w:val="NormalWeb"/>
        <w:spacing w:before="0" w:beforeAutospacing="0" w:after="0" w:afterAutospacing="0"/>
        <w:ind w:firstLine="720"/>
        <w:jc w:val="both"/>
      </w:pPr>
      <w:r>
        <w:rPr>
          <w:color w:val="000000"/>
        </w:rPr>
        <w:lastRenderedPageBreak/>
        <w:t xml:space="preserve">V-B. We do not endeavor to offer a comprehensive summary of the requisites for an adequate substitute for habeas corpus. We do consider it uncontroversial, however, that the privilege of habeas corpus entitles the prisoner to a meaningful opportunity to demonstrate that he is being held pursuant to “the erroneous application or interpretation” of relevant law. And the habeas court must have the power to order the conditional release of an individual unlawfully detained—though release need not be the exclusive remedy and is not the appropriate one in every case in which the writ is granted. These are the easily identified attributes of any constitutionally adequate habeas corpus proceeding. But, depending on the circumstances, more may be required. . . . </w:t>
      </w:r>
    </w:p>
    <w:p w:rsidR="00CB002F" w:rsidRDefault="00CB002F" w:rsidP="00CB002F">
      <w:pPr>
        <w:pStyle w:val="NormalWeb"/>
        <w:spacing w:before="0" w:beforeAutospacing="0" w:after="0" w:afterAutospacing="0"/>
        <w:ind w:firstLine="720"/>
        <w:jc w:val="both"/>
      </w:pPr>
      <w:r>
        <w:rPr>
          <w:color w:val="000000"/>
        </w:rPr>
        <w:t xml:space="preserve">It appears the common-law habeas court’s role was most extensive in cases of pretrial and noncriminal detention, where there had been little or no previous judicial review of the cause for detention. Notably, the black-letter rule that prisoners could not controvert facts in the jailer’s return was not followed (or at least not with consistency) in such cases. </w:t>
      </w:r>
    </w:p>
    <w:p w:rsidR="00CB002F" w:rsidRDefault="00CB002F" w:rsidP="00CB002F">
      <w:pPr>
        <w:pStyle w:val="NormalWeb"/>
        <w:spacing w:before="0" w:beforeAutospacing="0" w:after="0" w:afterAutospacing="0"/>
        <w:ind w:firstLine="720"/>
        <w:jc w:val="both"/>
      </w:pPr>
      <w:r>
        <w:rPr>
          <w:color w:val="000000"/>
        </w:rPr>
        <w:t xml:space="preserve">There is evidence from 19th-century American sources indicating that, even in States that accorded strong res judicata effect to prior adjudications, habeas courts in this country routinely allowed prisoners to introduce exculpatory evidence that was either unknown or previously unavailable to the prisoner. . . . </w:t>
      </w:r>
    </w:p>
    <w:p w:rsidR="00CB002F" w:rsidRDefault="00CB002F" w:rsidP="00CB002F">
      <w:pPr>
        <w:pStyle w:val="NormalWeb"/>
        <w:spacing w:before="0" w:beforeAutospacing="0" w:after="0" w:afterAutospacing="0"/>
        <w:ind w:firstLine="720"/>
        <w:jc w:val="both"/>
      </w:pPr>
      <w:r>
        <w:rPr>
          <w:color w:val="000000"/>
        </w:rPr>
        <w:t xml:space="preserve">The idea that the necessary scope of habeas review in part depends upon the rigor of any earlier proceedings accords with our test for procedural adequacy in the due process context. See Mathews v. Eldridge (1976) (noting that the Due Process Clause requires an assessment of, inter alia, “the risk of an erroneous deprivation of [a liberty interest;] and the probable value, if any, of additional or substitute procedural safeguards”). This principle has an established foundation in habeas corpus jurisprudence as well, as Chief Justice Marshall’s opinion in Ex </w:t>
      </w:r>
      <w:proofErr w:type="spellStart"/>
      <w:r>
        <w:rPr>
          <w:color w:val="000000"/>
        </w:rPr>
        <w:t>parte</w:t>
      </w:r>
      <w:proofErr w:type="spellEnd"/>
      <w:r>
        <w:rPr>
          <w:color w:val="000000"/>
        </w:rPr>
        <w:t xml:space="preserve"> Watkins (1830), demonstrates. Like the petitioner in Swain v. Pressley (1977), Watkins sought a writ of habeas corpus after being imprisoned pursuant to a judgment of a District of Columbia court. In holding that the judgment stood on “high ground,” the Chief Justice emphasized the character of the court that rendered the original judgment, noting it was a “court of record, having general jurisdiction over criminal cases.” In contrast to “inferior” tribunals of limited jurisdiction, courts of record had broad remedial powers, which gave the habeas court greater confidence in the judgment’s validity. . . . </w:t>
      </w:r>
    </w:p>
    <w:p w:rsidR="00CB002F" w:rsidRDefault="00CB002F" w:rsidP="00CB002F">
      <w:pPr>
        <w:pStyle w:val="NormalWeb"/>
        <w:spacing w:before="0" w:beforeAutospacing="0" w:after="0" w:afterAutospacing="0"/>
        <w:ind w:firstLine="720"/>
        <w:jc w:val="both"/>
      </w:pPr>
      <w:r>
        <w:rPr>
          <w:color w:val="000000"/>
        </w:rPr>
        <w:t xml:space="preserve">Both aspects of federal habeas corpus review are justified because it can be assumed that, in the usual course, a court of record provides defendants with a fair, adversary proceeding. In cases involving state convictions this framework also respects federalism; and in federal cases it has added justification because the prisoner already has had a chance to seek review of his conviction in a federal forum through a direct appeal. The present cases fall outside these categories, however; for here the detention is by executive order. </w:t>
      </w:r>
    </w:p>
    <w:p w:rsidR="00CB002F" w:rsidRDefault="00CB002F" w:rsidP="00CB002F">
      <w:pPr>
        <w:pStyle w:val="NormalWeb"/>
        <w:spacing w:before="0" w:beforeAutospacing="0" w:after="0" w:afterAutospacing="0"/>
        <w:ind w:firstLine="720"/>
        <w:jc w:val="both"/>
      </w:pPr>
      <w:r>
        <w:rPr>
          <w:color w:val="000000"/>
        </w:rPr>
        <w:t>Where a person is detained by executive order, rather than, say, after being tried and convicted in a court, the need for collateral review is most pressing. A criminal conviction in the usual course occurs after a judicial hearing before a tribunal disinterested in the outcome and committed to procedures designed to ensure its own independence. These dynamics are not inherent in executive detention orders or executive review procedures. In this context the need for habeas corpus is more urgent. The intended duration of the detention and the reasons for it bear upon the precise scope of the inquiry. Habeas corpus proceedings need not resemble a criminal trial, even when the detention is by executive order. But the writ must be effective. The habeas court must have sufficient authority to conduct a meaningful review of both the cause for detention and the Executive’s power to detain.</w:t>
      </w:r>
    </w:p>
    <w:p w:rsidR="00CB002F" w:rsidRDefault="00CB002F" w:rsidP="00CB002F">
      <w:pPr>
        <w:pStyle w:val="NormalWeb"/>
        <w:spacing w:before="0" w:beforeAutospacing="0" w:after="0" w:afterAutospacing="0"/>
        <w:ind w:firstLine="720"/>
        <w:jc w:val="both"/>
      </w:pPr>
      <w:r>
        <w:rPr>
          <w:color w:val="000000"/>
        </w:rPr>
        <w:lastRenderedPageBreak/>
        <w:t xml:space="preserve"> To determine the necessary scope of habeas corpus review, therefore, we must assess the CSRT process, the mechanism through which petitioners’ designation as enemy combatants became final. Whether one characterizes the CSRT process as direct review of the Executive’s battlefield determination that the detainee is an enemy combatant—as the parties have and as we do—or as the first step in the collateral review of a battlefield determination makes no difference in a proper analysis of whether the procedures Congress put in place are an adequate substitute for habeas corpus. . . . </w:t>
      </w:r>
    </w:p>
    <w:p w:rsidR="00CB002F" w:rsidRDefault="00CB002F" w:rsidP="00CB002F">
      <w:pPr>
        <w:pStyle w:val="NormalWeb"/>
        <w:spacing w:before="0" w:beforeAutospacing="0" w:after="0" w:afterAutospacing="0"/>
        <w:ind w:firstLine="720"/>
        <w:jc w:val="both"/>
      </w:pPr>
      <w:r>
        <w:rPr>
          <w:color w:val="000000"/>
        </w:rPr>
        <w:t xml:space="preserve">Petitioners identify what they see as myriad deficiencies in the CSRTs. The most relevant for our purposes are the constraints upon the detainee’s ability to rebut the factual basis for the Government’s assertion that he is an enemy combatant. As already noted, at the CSRT stage the detainee has limited means to find or present evidence to challenge the Government’s case against him. He does not have the assistance of counsel and may not be aware of the most critical allegations that the Government relied upon to order his detention (noting that the detainee can access only the “unclassified portion of the Government Information”). The detainee can confront witnesses that testify during the CSRT proceedings. But given that there are in effect no limits on the admission of hearsay evidence— the only requirement is that the tribunal deem the evidence “relevant and helpful,”— the detainee’s opportunity to question witnesses is likely to be more theoretical than real. </w:t>
      </w:r>
    </w:p>
    <w:p w:rsidR="00CB002F" w:rsidRDefault="00CB002F" w:rsidP="00CB002F">
      <w:pPr>
        <w:pStyle w:val="NormalWeb"/>
        <w:spacing w:before="0" w:beforeAutospacing="0" w:after="0" w:afterAutospacing="0"/>
        <w:ind w:firstLine="720"/>
        <w:jc w:val="both"/>
      </w:pPr>
      <w:r>
        <w:rPr>
          <w:color w:val="000000"/>
        </w:rPr>
        <w:t xml:space="preserve">The Government defends the CSRT process, arguing that it was designed to conform to the procedures suggested by the plurality in Hamdi. Setting aside the fact that the relevant language in Hamdi v. Rumsfeld (2004) did not garner </w:t>
      </w:r>
      <w:proofErr w:type="spellStart"/>
      <w:r>
        <w:rPr>
          <w:color w:val="000000"/>
        </w:rPr>
        <w:t>amajority</w:t>
      </w:r>
      <w:proofErr w:type="spellEnd"/>
      <w:r>
        <w:rPr>
          <w:color w:val="000000"/>
        </w:rPr>
        <w:t xml:space="preserve"> of the Court, it does not control the matter at hand. None of the parties in Hamdi argued there had been a suspension of the writ. Nor could they. The §2241 habeas corpus process remained in place. Accordingly, the plurality concentrated on whether the Executive had the authority to detain and, if so, what rights the detainee had under the Due Process Clause. . . . </w:t>
      </w:r>
    </w:p>
    <w:p w:rsidR="00CB002F" w:rsidRDefault="00CB002F" w:rsidP="00CB002F">
      <w:pPr>
        <w:pStyle w:val="NormalWeb"/>
        <w:spacing w:before="0" w:beforeAutospacing="0" w:after="0" w:afterAutospacing="0"/>
        <w:ind w:firstLine="720"/>
        <w:jc w:val="both"/>
      </w:pPr>
      <w:r>
        <w:rPr>
          <w:color w:val="000000"/>
        </w:rPr>
        <w:t xml:space="preserve">Even if we were to assume that the CSRTs satisfy due process standards, it would not end our inquiry. Habeas corpus is a collateral process that exists, in Justice </w:t>
      </w:r>
      <w:proofErr w:type="spellStart"/>
      <w:r>
        <w:rPr>
          <w:color w:val="000000"/>
        </w:rPr>
        <w:t>Holmes’words</w:t>
      </w:r>
      <w:proofErr w:type="spellEnd"/>
      <w:r>
        <w:rPr>
          <w:color w:val="000000"/>
        </w:rPr>
        <w:t>, to “cu[t] through all forms and g[o] to the very tissue of the structure. It comes in from the outside, not in subordination to the proceedings, and although every form may have been preserved opens the inquiry whether they have been more than an empty shell.” Even when the procedures authorizing detention are structurally sound, the Suspension Clause remains applicable and the writ relevant. This is so, as United States v. Hayman (1952) and Swain make clear, even where the prisoner is detained after a criminal trial conducted in full accordance with the protections of the Bill of Rights. Were this not the case, there would have been no reason for the Court to inquire into the adequacy of substitute habeas procedures in Hayman and Swain. That the prisoners were detained pursuant to the most rigorous proceedings imaginable, a full criminal trial, would have been enough to render any habeas substitute acceptable per se.</w:t>
      </w:r>
    </w:p>
    <w:p w:rsidR="00CB002F" w:rsidRDefault="00CB002F" w:rsidP="00CB002F">
      <w:pPr>
        <w:pStyle w:val="NormalWeb"/>
        <w:spacing w:before="0" w:beforeAutospacing="0" w:after="0" w:afterAutospacing="0"/>
        <w:ind w:firstLine="720"/>
        <w:jc w:val="both"/>
      </w:pPr>
      <w:r>
        <w:rPr>
          <w:color w:val="000000"/>
        </w:rPr>
        <w:t xml:space="preserve"> Although we make no judgment as to whether the CSRTs, as currently constituted, satisfy due process standards, we agree with petitioners that, even when all the parties involved in this process act with diligence and in good faith, there is considerable risk of error in the tribunal’s findings of fact. This is a risk inherent in any process that, in the words of the former Chief Judge of the Court of Appeals, is “closed and accusatorial.” And given that the consequence of error may be detention of persons for the duration of hostilities that may last a generation or more, this is a risk too significant to ignore.</w:t>
      </w:r>
    </w:p>
    <w:p w:rsidR="00CB002F" w:rsidRDefault="00CB002F" w:rsidP="00CB002F">
      <w:pPr>
        <w:pStyle w:val="NormalWeb"/>
        <w:spacing w:before="0" w:beforeAutospacing="0" w:after="0" w:afterAutospacing="0"/>
        <w:ind w:firstLine="720"/>
        <w:jc w:val="both"/>
      </w:pPr>
      <w:r>
        <w:rPr>
          <w:color w:val="000000"/>
        </w:rPr>
        <w:t xml:space="preserve"> For the writ of habeas corpus, or its substitute, to function as an effective and proper remedy in this context, the court that conducts the habeas proceeding must have the means to </w:t>
      </w:r>
      <w:r>
        <w:rPr>
          <w:color w:val="000000"/>
        </w:rPr>
        <w:lastRenderedPageBreak/>
        <w:t xml:space="preserve">correct errors that occurred during the CSRT proceedings. This includes some authority to assess the sufficiency of the Government’s evidence against the detainee. It also must have the authority to admit and consider relevant exculpatory evidence that was not introduced during the earlier proceeding. Federal habeas petitioners long have had the means to supplement the record on review, even in the post-conviction habeas setting. Here that opportunity is constitutionally required. </w:t>
      </w:r>
    </w:p>
    <w:p w:rsidR="00CB002F" w:rsidRDefault="00CB002F" w:rsidP="00CB002F">
      <w:pPr>
        <w:pStyle w:val="NormalWeb"/>
        <w:spacing w:before="0" w:beforeAutospacing="0" w:after="0" w:afterAutospacing="0"/>
        <w:ind w:firstLine="720"/>
        <w:jc w:val="both"/>
      </w:pPr>
      <w:r>
        <w:rPr>
          <w:color w:val="000000"/>
        </w:rPr>
        <w:t xml:space="preserve">Consistent with the historic function and province of the writ, habeas corpus review may be more circumscribed if the underlying detention proceedings are more thorough than they were here. In two habeas cases involving enemy aliens tried for war crimes, In re Yamashita (1946) and Ex </w:t>
      </w:r>
      <w:proofErr w:type="spellStart"/>
      <w:r>
        <w:rPr>
          <w:color w:val="000000"/>
        </w:rPr>
        <w:t>parte</w:t>
      </w:r>
      <w:proofErr w:type="spellEnd"/>
      <w:r>
        <w:rPr>
          <w:color w:val="000000"/>
        </w:rPr>
        <w:t xml:space="preserve"> </w:t>
      </w:r>
      <w:proofErr w:type="spellStart"/>
      <w:r>
        <w:rPr>
          <w:color w:val="000000"/>
        </w:rPr>
        <w:t>Quirin</w:t>
      </w:r>
      <w:proofErr w:type="spellEnd"/>
      <w:r>
        <w:rPr>
          <w:color w:val="000000"/>
        </w:rPr>
        <w:t xml:space="preserve"> (1942), for example, this Court limited its review to determining whether the Executive had legal authority to try the petitioners by military commission. Military courts are not courts of record. And the procedures used to try General Yamashita have been sharply criticized by Members of this Court. We need not revisit these cases, however. For on their own terms, the proceedings in Yamashita and </w:t>
      </w:r>
      <w:proofErr w:type="spellStart"/>
      <w:r>
        <w:rPr>
          <w:color w:val="000000"/>
        </w:rPr>
        <w:t>Quirin</w:t>
      </w:r>
      <w:proofErr w:type="spellEnd"/>
      <w:r>
        <w:rPr>
          <w:color w:val="000000"/>
        </w:rPr>
        <w:t xml:space="preserve">, like those in </w:t>
      </w:r>
      <w:proofErr w:type="spellStart"/>
      <w:r>
        <w:rPr>
          <w:color w:val="000000"/>
        </w:rPr>
        <w:t>Eisentrager</w:t>
      </w:r>
      <w:proofErr w:type="spellEnd"/>
      <w:r>
        <w:rPr>
          <w:color w:val="000000"/>
        </w:rPr>
        <w:t xml:space="preserve">, had an adversarial structure that is lacking here. . . . </w:t>
      </w:r>
    </w:p>
    <w:p w:rsidR="00CB002F" w:rsidRDefault="00CB002F" w:rsidP="00CB002F">
      <w:pPr>
        <w:pStyle w:val="NormalWeb"/>
        <w:spacing w:before="0" w:beforeAutospacing="0" w:after="0" w:afterAutospacing="0"/>
        <w:ind w:firstLine="720"/>
        <w:jc w:val="both"/>
      </w:pPr>
      <w:r>
        <w:rPr>
          <w:color w:val="000000"/>
        </w:rPr>
        <w:t xml:space="preserve">V-C. We now consider whether the DTA allows the Court of Appeals to conduct a proceeding meeting these standards. “[W]e are obligated to construe the statute to avoid [constitutional] problems” if it is “‘fairly possible’” to do so. There are limits to this principle, however. The canon of constitutional avoidance does not supplant traditional modes of statutory interpretation. We cannot ignore the text and purpose of a statute in order to save it. </w:t>
      </w:r>
    </w:p>
    <w:p w:rsidR="00CB002F" w:rsidRDefault="00CB002F" w:rsidP="00CB002F">
      <w:pPr>
        <w:pStyle w:val="NormalWeb"/>
        <w:spacing w:before="0" w:beforeAutospacing="0" w:after="0" w:afterAutospacing="0"/>
        <w:ind w:firstLine="720"/>
        <w:jc w:val="both"/>
      </w:pPr>
      <w:r>
        <w:rPr>
          <w:color w:val="000000"/>
        </w:rPr>
        <w:t xml:space="preserve">The DTA does not explicitly empower the Court of Appeals to order the applicant in a DTA review proceeding released should the court find that the standards and procedures used at his CSRT hearing were insufficient to justify detention. This is troubling. Yet, for present purposes, we can assume congressional silence permits a constitutionally required remedy. . . . The DTA might be read, furthermore, to allow the petitioners to assert most, if not all, of the legal claims they seek to advance, including their most basic claim: that the President has no authority under the AUMF to detain them indefinitely. . . . </w:t>
      </w:r>
    </w:p>
    <w:p w:rsidR="00CB002F" w:rsidRDefault="00CB002F" w:rsidP="00CB002F">
      <w:pPr>
        <w:pStyle w:val="NormalWeb"/>
        <w:spacing w:before="0" w:beforeAutospacing="0" w:after="0" w:afterAutospacing="0"/>
        <w:ind w:firstLine="720"/>
        <w:jc w:val="both"/>
      </w:pPr>
      <w:r>
        <w:rPr>
          <w:color w:val="000000"/>
        </w:rPr>
        <w:t>The absence of a release remedy and specific language allowing AUMF challenges are not the only constitutional infirmities from which the statute potentially suffers, however. The more difficult question is whether the DTA permits the Court of Appeals to make requisite findings of fact. The DTA enables petitioners to request “review” of their CSRT determination in the Court of Appeals; but the “Scope of Review” provision confines the Court of Appeals’ role to reviewing whether the CSRT followed the “standards and procedures” issued by the Department of Defense and assessing whether those “standards and procedures” are lawful. Among these standards is “the requirement that the conclusion of the Tribunal be supported by a preponderance of the evidence . . . allowing a rebuttable presumption in favor of the Government’s evidence.” . . .</w:t>
      </w:r>
    </w:p>
    <w:p w:rsidR="00CB002F" w:rsidRDefault="00CB002F" w:rsidP="00CB002F">
      <w:pPr>
        <w:pStyle w:val="NormalWeb"/>
        <w:spacing w:before="0" w:beforeAutospacing="0" w:after="0" w:afterAutospacing="0"/>
        <w:ind w:firstLine="720"/>
        <w:jc w:val="both"/>
      </w:pPr>
      <w:r>
        <w:rPr>
          <w:color w:val="000000"/>
        </w:rPr>
        <w:t xml:space="preserve"> [W]e see no way to construe the statute to allow what is also constitutionally required in this context: an opportunity for the detainee to present relevant exculpatory evidence that was not made part of the record in the earlier proceedings. </w:t>
      </w:r>
    </w:p>
    <w:p w:rsidR="00CB002F" w:rsidRDefault="00CB002F" w:rsidP="00CB002F">
      <w:pPr>
        <w:pStyle w:val="NormalWeb"/>
        <w:spacing w:before="0" w:beforeAutospacing="0" w:after="0" w:afterAutospacing="0"/>
        <w:ind w:firstLine="720"/>
        <w:jc w:val="both"/>
      </w:pPr>
      <w:r>
        <w:rPr>
          <w:color w:val="000000"/>
        </w:rPr>
        <w:t xml:space="preserve">On its face the statute allows the Court of Appeals to consider no evidence outside the CSRT record. In the parallel litigation, however, the Court of Appeals determined that the DTA allows it to order the production of all “‘reasonably available information in the possession of the U. S. Government bearing on the issue of whether the detainee meets the criteria to be designated as an enemy combatant,’” regardless of whether this evidence was put before the CSRT. . . . Even so, the DTA review proceeding falls short of being a constitutionally adequate substitute, for the </w:t>
      </w:r>
      <w:r>
        <w:rPr>
          <w:color w:val="000000"/>
        </w:rPr>
        <w:lastRenderedPageBreak/>
        <w:t xml:space="preserve">detainee still would have no opportunity to present evidence discovered after the CSRT proceedings concluded. </w:t>
      </w:r>
    </w:p>
    <w:p w:rsidR="00CB002F" w:rsidRDefault="00CB002F" w:rsidP="00CB002F">
      <w:pPr>
        <w:pStyle w:val="NormalWeb"/>
        <w:spacing w:before="0" w:beforeAutospacing="0" w:after="0" w:afterAutospacing="0"/>
        <w:ind w:firstLine="720"/>
        <w:jc w:val="both"/>
      </w:pPr>
      <w:r>
        <w:rPr>
          <w:color w:val="000000"/>
        </w:rPr>
        <w:t xml:space="preserve">Under the DTA the Court of Appeals has the power to review CSRT determinations by assessing the legality of standards and procedures. This implies the power to inquire into what happened at the CSRT hearing and, perhaps, to remedy certain deficiencies in that proceeding. But should the Court of Appeals determine that the CSRT followed appropriate and lawful standards and procedures, it will have reached the limits of its jurisdiction. There is no language in the DTA that can be construed to allow the Court of Appeals to admit and consider newly discovered evidence that could not have been made part of the CSRT record because it was unavailable to either the Government or the detainee when the CSRT made its findings. This evidence, however, may be critical to the detainee’s argument that he is not an enemy combatant and there is no cause to detain him. </w:t>
      </w:r>
    </w:p>
    <w:p w:rsidR="00CB002F" w:rsidRDefault="00CB002F" w:rsidP="00CB002F">
      <w:pPr>
        <w:pStyle w:val="NormalWeb"/>
        <w:spacing w:before="0" w:beforeAutospacing="0" w:after="0" w:afterAutospacing="0"/>
        <w:ind w:firstLine="720"/>
        <w:jc w:val="both"/>
      </w:pPr>
      <w:r>
        <w:rPr>
          <w:color w:val="000000"/>
        </w:rPr>
        <w:t xml:space="preserve">This is not a remote hypothetical. One of the petitioners, Mohamed </w:t>
      </w:r>
      <w:proofErr w:type="spellStart"/>
      <w:r>
        <w:rPr>
          <w:color w:val="000000"/>
        </w:rPr>
        <w:t>Nechla</w:t>
      </w:r>
      <w:proofErr w:type="spellEnd"/>
      <w:r>
        <w:rPr>
          <w:color w:val="000000"/>
        </w:rPr>
        <w:t xml:space="preserve">, requested at his CSRT hearing that the Government contact his employer. The petitioner claimed the employer would corroborate </w:t>
      </w:r>
      <w:proofErr w:type="spellStart"/>
      <w:r>
        <w:rPr>
          <w:color w:val="000000"/>
        </w:rPr>
        <w:t>Nechla’s</w:t>
      </w:r>
      <w:proofErr w:type="spellEnd"/>
      <w:r>
        <w:rPr>
          <w:color w:val="000000"/>
        </w:rPr>
        <w:t xml:space="preserve"> contention he had no affiliation with al Qaeda. Although the CSRT determined this testimony would be relevant, it also found the witness was not reasonably available to testify at the time of the hearing. Petitioner’s counsel, however, now represents the witness is available to be heard. If a detainee can present reasonably available evidence demonstrating there is no basis for his continued detention, he must have the opportunity to present this evidence to a habeas corpus court. Even under the Court of Appeals’ generous construction of the DTA, however, the evidence identified by </w:t>
      </w:r>
      <w:proofErr w:type="spellStart"/>
      <w:r>
        <w:rPr>
          <w:color w:val="000000"/>
        </w:rPr>
        <w:t>Nechla</w:t>
      </w:r>
      <w:proofErr w:type="spellEnd"/>
      <w:r>
        <w:rPr>
          <w:color w:val="000000"/>
        </w:rPr>
        <w:t xml:space="preserve"> would be inadmissible in a DTA review proceeding. The role of an Article III court in the exercise of its habeas corpus function cannot be circumscribed in this manner. . . .</w:t>
      </w:r>
    </w:p>
    <w:p w:rsidR="00CB002F" w:rsidRDefault="00CB002F" w:rsidP="00CB002F">
      <w:pPr>
        <w:pStyle w:val="NormalWeb"/>
        <w:spacing w:before="0" w:beforeAutospacing="0" w:after="0" w:afterAutospacing="0"/>
        <w:ind w:firstLine="720"/>
        <w:jc w:val="both"/>
      </w:pPr>
      <w:r>
        <w:rPr>
          <w:color w:val="000000"/>
        </w:rPr>
        <w:t xml:space="preserve"> In other contexts, e.g., in post-trial habeas cases where the prisoner already has had a full and fair opportunity to develop the factual predicate of his claims, similar limitations on the scope of habeas review may be appropriate. In this context, however, where the underlying detention proceedings lack the necessary adversarial character, the detainee cannot be held responsible for all deficiencies in the record. </w:t>
      </w:r>
    </w:p>
    <w:p w:rsidR="00CB002F" w:rsidRDefault="00CB002F" w:rsidP="00CB002F">
      <w:pPr>
        <w:pStyle w:val="NormalWeb"/>
        <w:spacing w:before="0" w:beforeAutospacing="0" w:after="0" w:afterAutospacing="0"/>
        <w:ind w:firstLine="720"/>
        <w:jc w:val="both"/>
      </w:pPr>
      <w:r>
        <w:rPr>
          <w:color w:val="000000"/>
        </w:rPr>
        <w:t xml:space="preserve">The Government . . . does point out . . . that if a detainee obtains such evidence, he can request that the Deputy Secretary of Defense convene a new CSRT. Whatever the merits of this procedure, it is an insufficient replacement for the factual review these detainees are entitled to receive through habeas corpus. The Deputy Secretary’s determination whether to initiate new proceedings is wholly a discretionary one (“The decision to convene a CSRT to reconsider the basis of the detainee’s [enemy combatant] status in light of ‘new evidence’ is a matter vested in the unreviewable discretion of the [Deputy Secretary of Defense]”). And we see no way to construe the DTA to allow a detainee to challenge the Deputy Secretary’s decision not to open a new CSRT. Congress directed the Secretary of Defense to devise procedures for considering new evidence, but the detainee has no mechanism for ensuring that those procedures are followed. . . . </w:t>
      </w:r>
    </w:p>
    <w:p w:rsidR="00CB002F" w:rsidRDefault="00CB002F" w:rsidP="00CB002F">
      <w:pPr>
        <w:pStyle w:val="NormalWeb"/>
        <w:spacing w:before="0" w:beforeAutospacing="0" w:after="0" w:afterAutospacing="0"/>
        <w:ind w:firstLine="720"/>
        <w:jc w:val="both"/>
      </w:pPr>
      <w:r>
        <w:rPr>
          <w:color w:val="000000"/>
        </w:rPr>
        <w:t xml:space="preserve">We do not </w:t>
      </w:r>
      <w:proofErr w:type="spellStart"/>
      <w:r>
        <w:rPr>
          <w:color w:val="000000"/>
        </w:rPr>
        <w:t>implyDTA</w:t>
      </w:r>
      <w:proofErr w:type="spellEnd"/>
      <w:r>
        <w:rPr>
          <w:color w:val="000000"/>
        </w:rPr>
        <w:t xml:space="preserve"> review would be a constitutionally sufficient replacement for habeas corpus but for these limitations on the detainee’s ability to present exculpatory evidence. For even if it were possible, as a </w:t>
      </w:r>
      <w:proofErr w:type="spellStart"/>
      <w:r>
        <w:rPr>
          <w:color w:val="000000"/>
        </w:rPr>
        <w:t>textualmatter</w:t>
      </w:r>
      <w:proofErr w:type="spellEnd"/>
      <w:r>
        <w:rPr>
          <w:color w:val="000000"/>
        </w:rPr>
        <w:t xml:space="preserve">, to read into the statute each of the necessary procedures we have identified, we could not overlook the cumulative effect of our doing so. To hold that the detainees at Guantanamo may, under the DTA, challenge the President’s legal authority to detain them, contest the CSRT’s findings of fact, supplement the record on review with exculpatory evidence, and request an order of release would come close to reinstating the §2241 habeas corpus </w:t>
      </w:r>
      <w:r>
        <w:rPr>
          <w:color w:val="000000"/>
        </w:rPr>
        <w:lastRenderedPageBreak/>
        <w:t xml:space="preserve">process Congress sought to deny them. The language of the statute, read in light of Congress’ reasons for enacting it, cannot bear this interpretation. . . . </w:t>
      </w:r>
    </w:p>
    <w:p w:rsidR="00CB002F" w:rsidRDefault="00CB002F" w:rsidP="00CB002F">
      <w:pPr>
        <w:pStyle w:val="NormalWeb"/>
        <w:spacing w:before="0" w:beforeAutospacing="0" w:after="0" w:afterAutospacing="0"/>
        <w:ind w:firstLine="720"/>
        <w:jc w:val="both"/>
      </w:pPr>
      <w:r>
        <w:rPr>
          <w:color w:val="000000"/>
        </w:rPr>
        <w:t xml:space="preserve">Although we do not hold that an adequate substitute must duplicate §2241 in all respects, it suffices that the Government has not established that the detainees’ access to the statutory review provisions at issue is an adequate substitute for the writ of habeas corpus. MCA §7 thus effects an unconstitutional suspension of the writ. In view of our holding we need not discuss the reach of the writ with respect to claims of unlawful conditions of treatment or confinement. </w:t>
      </w:r>
    </w:p>
    <w:p w:rsidR="00CB002F" w:rsidRDefault="00CB002F" w:rsidP="00CB002F">
      <w:pPr>
        <w:pStyle w:val="NormalWeb"/>
        <w:spacing w:before="0" w:beforeAutospacing="0" w:after="0" w:afterAutospacing="0"/>
        <w:ind w:firstLine="720"/>
        <w:jc w:val="both"/>
      </w:pPr>
      <w:r>
        <w:rPr>
          <w:color w:val="000000"/>
        </w:rPr>
        <w:t xml:space="preserve">VI-A. In light of our conclusion that there is no jurisdictional bar to the District Court’s entertaining petitioners’ claims the question remains whether there are prudential barriers to habeas corpus review under these circumstances. . . . </w:t>
      </w:r>
    </w:p>
    <w:p w:rsidR="00CB002F" w:rsidRDefault="00CB002F" w:rsidP="00CB002F">
      <w:pPr>
        <w:pStyle w:val="NormalWeb"/>
        <w:spacing w:before="0" w:beforeAutospacing="0" w:after="0" w:afterAutospacing="0"/>
        <w:ind w:firstLine="720"/>
        <w:jc w:val="both"/>
      </w:pPr>
      <w:r>
        <w:rPr>
          <w:color w:val="000000"/>
        </w:rPr>
        <w:t xml:space="preserve">As noted earlier, in other contexts and for prudential reasons this Court has required exhaustion of alternative remedies before a prisoner can seek federal habeas relief. . . . </w:t>
      </w:r>
    </w:p>
    <w:p w:rsidR="00CB002F" w:rsidRDefault="00CB002F" w:rsidP="00CB002F">
      <w:pPr>
        <w:pStyle w:val="NormalWeb"/>
        <w:spacing w:before="0" w:beforeAutospacing="0" w:after="0" w:afterAutospacing="0"/>
        <w:ind w:firstLine="720"/>
        <w:jc w:val="both"/>
      </w:pPr>
      <w:r>
        <w:rPr>
          <w:color w:val="000000"/>
        </w:rPr>
        <w:t xml:space="preserve">In cases involving foreign citizens detained abroad by the Executive, it likely would be both an impractical and unprecedented extension of judicial power to assume that habeas corpus would be available at the moment the prisoner is taken into custody. If and when habeas corpus jurisdiction applies, as it does in these cases, then proper deference can be accorded to reasonable procedures for screening and initial detention under lawful and proper conditions of confinement and treatment for a reasonable period of time. Domestic exigencies, furthermore, might also impose such onerous burdens on the Government that here, too, the Judicial Branch would be required to devise sensible rules for staying habeas corpus proceedings until the Government can comply with its requirements in a responsible way. Ex </w:t>
      </w:r>
      <w:proofErr w:type="spellStart"/>
      <w:r>
        <w:rPr>
          <w:color w:val="000000"/>
        </w:rPr>
        <w:t>parte</w:t>
      </w:r>
      <w:proofErr w:type="spellEnd"/>
      <w:r>
        <w:rPr>
          <w:color w:val="000000"/>
        </w:rPr>
        <w:t xml:space="preserve"> Milligan (“If, in foreign invasion or civil war, the courts are actually closed, and it is impossible to administer criminal justice according to law, then, on the theatre of active military operations, where war really prevails, there is a necessity to furnish a substitute for the civil authority, thus overthrown, to preserve the safety of the army and society; and as no power is left but the military, it is allowed to govern by martial rule until the laws can have their free course”). Here, as is true with detainees apprehended abroad, a relevant consideration in determining the courts’ role is whether there are suitable alternative processes in place to protect against the arbitrary exercise of governmental power. </w:t>
      </w:r>
    </w:p>
    <w:p w:rsidR="00CB002F" w:rsidRDefault="00CB002F" w:rsidP="00CB002F">
      <w:pPr>
        <w:pStyle w:val="NormalWeb"/>
        <w:spacing w:before="0" w:beforeAutospacing="0" w:after="0" w:afterAutospacing="0"/>
        <w:ind w:firstLine="720"/>
        <w:jc w:val="both"/>
      </w:pPr>
      <w:r>
        <w:rPr>
          <w:color w:val="000000"/>
        </w:rPr>
        <w:t xml:space="preserve">The cases before us, however, do not involve detainees who have been held for a short period of time while awaiting their CSRT determinations. Were that the case, or were it probable that the Court of Appeals could complete a prompt review of their applications, the case for requiring temporary abstention or exhaustion of alternative remedies would be much stronger. These qualifications no longer pertain here. In some of these cases six years have elapsed without the judicial oversight that habeas corpus or an adequate substitute demands. And there has been no showing that the Executive faces such onerous burdens that it cannot respond to habeas corpus actions. To require these detainees to complete DTA review before proceeding with their habeas corpus actions would be to require additional months, if not years, of delay. . . . </w:t>
      </w:r>
    </w:p>
    <w:p w:rsidR="00CB002F" w:rsidRDefault="00CB002F" w:rsidP="00CB002F">
      <w:pPr>
        <w:pStyle w:val="NormalWeb"/>
        <w:spacing w:before="0" w:beforeAutospacing="0" w:after="0" w:afterAutospacing="0"/>
        <w:ind w:firstLine="720"/>
        <w:jc w:val="both"/>
      </w:pPr>
      <w:r>
        <w:rPr>
          <w:color w:val="000000"/>
        </w:rPr>
        <w:t xml:space="preserve">Our decision today holds only that the petitioners before us are entitled to seek the writ; that the DTA review procedures are an inadequate substitute for habeas corpus; and that the petitioners in these cases need not exhaust the review procedures in the Court of Appeals before proceeding with their habeas actions in the District Court. Our holding with regard to exhaustion should not be read to imply that a habeas court should intervene the moment an enemy combatant steps foot in a territory where the writ runs. The Executive is entitled to a reasonable period of time to determine a detainee’s status before a court entertains that detainee’s habeas corpus petition. . . . Except in cases of undue delay, federal courts should refrain from entertaining an </w:t>
      </w:r>
      <w:r>
        <w:rPr>
          <w:color w:val="000000"/>
        </w:rPr>
        <w:lastRenderedPageBreak/>
        <w:t xml:space="preserve">enemy combatant’s habeas corpus petition at least until after the Department, acting via the CSRT, has had a chance to review his status. </w:t>
      </w:r>
    </w:p>
    <w:p w:rsidR="00CB002F" w:rsidRDefault="00CB002F" w:rsidP="00CB002F">
      <w:pPr>
        <w:pStyle w:val="NormalWeb"/>
        <w:spacing w:before="0" w:beforeAutospacing="0" w:after="0" w:afterAutospacing="0"/>
        <w:ind w:firstLine="720"/>
        <w:jc w:val="both"/>
      </w:pPr>
      <w:r>
        <w:rPr>
          <w:color w:val="000000"/>
        </w:rPr>
        <w:t>VI-B. Although we hold that the DTA is not an adequate and effective substitute for habeas corpus, it does not follow that a habeas corpus court may disregard the dangers the detention in these cases was intended to prevent. . . .</w:t>
      </w:r>
    </w:p>
    <w:p w:rsidR="00CB002F" w:rsidRDefault="00CB002F" w:rsidP="00CB002F">
      <w:pPr>
        <w:pStyle w:val="NormalWeb"/>
        <w:spacing w:before="0" w:beforeAutospacing="0" w:after="0" w:afterAutospacing="0"/>
        <w:ind w:firstLine="720"/>
        <w:jc w:val="both"/>
      </w:pPr>
      <w:r>
        <w:rPr>
          <w:color w:val="000000"/>
        </w:rPr>
        <w:t xml:space="preserve"> In the DTA Congress sought to consolidate review of petitioners’ claims in the Court of Appeals. Channeling future cases to one district court would no doubt reduce administrative burdens on the Government. This is a legitimate objective that might be advanced even without an amendment to §2241. </w:t>
      </w:r>
    </w:p>
    <w:p w:rsidR="00CB002F" w:rsidRDefault="00CB002F" w:rsidP="00CB002F">
      <w:pPr>
        <w:pStyle w:val="NormalWeb"/>
        <w:spacing w:before="0" w:beforeAutospacing="0" w:after="0" w:afterAutospacing="0"/>
        <w:ind w:firstLine="720"/>
        <w:jc w:val="both"/>
      </w:pPr>
      <w:r>
        <w:rPr>
          <w:color w:val="000000"/>
        </w:rPr>
        <w:t>Another of Congress’s reasons for vesting exclusive jurisdiction in the Court of Appeals, perhaps, was to avoid the widespread dissemination of classified information. We make no attempt to anticipate all of the evidentiary and access-to-counsel issues that will arise during the course of the detainees’ habeas corpus proceedings. We recognize, however, that the Government has a legitimate interest in protecting sources and methods of intelligence gathering; and we expect that the District Court will use its discretion to accommodate this interest to the greatest extent possible. . . .</w:t>
      </w:r>
    </w:p>
    <w:p w:rsidR="00CB002F" w:rsidRDefault="00CB002F" w:rsidP="00CB002F">
      <w:pPr>
        <w:pStyle w:val="NormalWeb"/>
        <w:spacing w:before="0" w:beforeAutospacing="0" w:after="0" w:afterAutospacing="0"/>
        <w:ind w:firstLine="720"/>
        <w:jc w:val="both"/>
      </w:pPr>
      <w:r>
        <w:rPr>
          <w:color w:val="000000"/>
        </w:rPr>
        <w:t xml:space="preserve"> Officials charged with daily operational responsibility for our security may consider a judicial discourse on the history of the Habeas Corpus Act of 1679 and like matters to be far removed from the Nation’s present, urgent concerns. Established legal doctrine, however, must be consulted for its teaching. Remote in time it may be; irrelevant to the present it is not. Security depends upon a sophisticated intelligence apparatus and the ability of our Armed Forces to act and to interdict. There are further considerations, however. Security subsists, too, in fidelity to freedom’s first principles. Chief among these are freedom from arbitrary and unlawful restraint and the personal liberty that is secured by adherence to the separation of powers. It is from these principles that the judicial authority to consider petitions for habeas corpus relief derives. . . . </w:t>
      </w:r>
    </w:p>
    <w:p w:rsidR="00CB002F" w:rsidRDefault="00CB002F" w:rsidP="00CB002F">
      <w:pPr>
        <w:pStyle w:val="NormalWeb"/>
        <w:spacing w:before="0" w:beforeAutospacing="0" w:after="0" w:afterAutospacing="0"/>
        <w:ind w:firstLine="720"/>
        <w:jc w:val="both"/>
      </w:pPr>
      <w:r>
        <w:rPr>
          <w:color w:val="000000"/>
        </w:rPr>
        <w:t xml:space="preserve">Some of these petitioners have been in custody for six years with no definitive judicial determination as to the legality of their detention. Their access to the writ is a necessity to determine the lawfulness of their status, even if, in the end, they do not obtain the relief they seek. </w:t>
      </w:r>
    </w:p>
    <w:p w:rsidR="00CB002F" w:rsidRDefault="00CB002F" w:rsidP="00CB002F">
      <w:pPr>
        <w:pStyle w:val="NormalWeb"/>
        <w:spacing w:before="0" w:beforeAutospacing="0" w:after="0" w:afterAutospacing="0"/>
        <w:ind w:firstLine="720"/>
        <w:jc w:val="both"/>
      </w:pPr>
      <w:r>
        <w:rPr>
          <w:color w:val="000000"/>
        </w:rPr>
        <w:t xml:space="preserve">Because our Nation’s past military conflicts have been of limited duration, it has been possible to leave the outer boundaries of war powers undefined. If, as some fear, terrorism continues to pose dangerous threats to us for years to come, the Court might not have this luxury. . . . </w:t>
      </w:r>
    </w:p>
    <w:p w:rsidR="00CB002F" w:rsidRDefault="00CB002F" w:rsidP="00CB002F">
      <w:pPr>
        <w:pStyle w:val="NormalWeb"/>
        <w:spacing w:before="0" w:beforeAutospacing="0" w:after="0" w:afterAutospacing="0"/>
        <w:ind w:firstLine="720"/>
        <w:jc w:val="both"/>
      </w:pPr>
      <w:r>
        <w:rPr>
          <w:color w:val="000000"/>
        </w:rPr>
        <w:t>We hold that petitioners may invoke the fundamental procedural protections of habeas corpus. The laws and Constitution are designed to survive, and remain in force, in extraordinary times. Liberty and security can be reconciled; and in our system they are reconciled within the framework of the law. . . .</w:t>
      </w:r>
    </w:p>
    <w:p w:rsidR="00CB002F" w:rsidRDefault="00CB002F" w:rsidP="00CB002F">
      <w:pPr>
        <w:pStyle w:val="NormalWeb"/>
        <w:spacing w:before="0" w:beforeAutospacing="0" w:after="0" w:afterAutospacing="0"/>
        <w:ind w:firstLine="720"/>
        <w:jc w:val="both"/>
      </w:pPr>
      <w:r>
        <w:rPr>
          <w:color w:val="000000"/>
        </w:rPr>
        <w:t xml:space="preserve"> The judgment of the Court of Appeals is reversed. The cases are remanded to the Court of Appeals with instructions that it remand the cases to the District Court for proceedings consistent with this opinion.</w:t>
      </w:r>
    </w:p>
    <w:p w:rsidR="00CB002F" w:rsidRDefault="00CB002F" w:rsidP="00CB002F">
      <w:pPr>
        <w:pStyle w:val="NormalWeb"/>
        <w:spacing w:before="0" w:beforeAutospacing="0" w:after="0" w:afterAutospacing="0"/>
        <w:ind w:firstLine="720"/>
        <w:jc w:val="both"/>
      </w:pPr>
      <w:r>
        <w:rPr>
          <w:color w:val="000000"/>
        </w:rPr>
        <w:t xml:space="preserve"> It is so ordered. </w:t>
      </w:r>
    </w:p>
    <w:p w:rsidR="00CB002F" w:rsidRDefault="00CB002F" w:rsidP="00CB002F">
      <w:pPr>
        <w:pStyle w:val="NormalWeb"/>
        <w:spacing w:before="0" w:beforeAutospacing="0" w:after="0" w:afterAutospacing="0"/>
        <w:ind w:firstLine="720"/>
        <w:jc w:val="both"/>
      </w:pPr>
      <w:r>
        <w:rPr>
          <w:b/>
          <w:bCs/>
          <w:color w:val="000000"/>
        </w:rPr>
        <w:t>Chief Justice Roberts, dissenting, with whom Scalia, Thomas, and Alito join.</w:t>
      </w:r>
    </w:p>
    <w:p w:rsidR="00CB002F" w:rsidRDefault="00CB002F" w:rsidP="00CB002F">
      <w:pPr>
        <w:pStyle w:val="NormalWeb"/>
        <w:spacing w:before="0" w:beforeAutospacing="0" w:after="0" w:afterAutospacing="0"/>
        <w:ind w:firstLine="720"/>
        <w:jc w:val="both"/>
      </w:pPr>
      <w:r>
        <w:rPr>
          <w:color w:val="000000"/>
        </w:rPr>
        <w:t xml:space="preserve"> Today the Court strikes down as inadequate the most generous set of procedural protections ever afforded aliens detained by this country as enemy combatants. The political branches crafted these procedures amidst an ongoing military conflict, after much careful investigation and thorough debate. The Court rejects them today out of hand, without bothering to say what due process rights the detainees possess, without explaining how the statute fails to </w:t>
      </w:r>
      <w:r>
        <w:rPr>
          <w:color w:val="000000"/>
        </w:rPr>
        <w:lastRenderedPageBreak/>
        <w:t>vindicate those rights, and before a single petitioner has even attempted to avail himself of the law’s operation. And to what effect? The majority merely replaces a review system designed by the people’s representatives with a set of shapeless procedures to be defined by federal courts at some future date. One cannot help but think, after surveying the modest practical results of the majority’s ambitious opinion, that this decision is not really about the detainees at all, but about control of federal policy regarding enemy combatants.</w:t>
      </w:r>
    </w:p>
    <w:p w:rsidR="00CB002F" w:rsidRDefault="00CB002F" w:rsidP="00CB002F">
      <w:pPr>
        <w:pStyle w:val="NormalWeb"/>
        <w:spacing w:before="0" w:beforeAutospacing="0" w:after="0" w:afterAutospacing="0"/>
        <w:ind w:firstLine="720"/>
        <w:jc w:val="both"/>
      </w:pPr>
      <w:r>
        <w:rPr>
          <w:color w:val="000000"/>
        </w:rPr>
        <w:t xml:space="preserve"> The majority is adamant that the Guantanamo detainees are entitled to the protections of habeas corpus—its opinion begins by deciding that question. I regard the issue as a difficult one, primarily because of the unique and unusual jurisdictional status of Guantanamo Bay. I nonetheless agree with Justice Scalia’s analysis of our precedents and the pertinent history of the writ, and accordingly join his dissent. The important point for me, however, is that the Court should have resolved these cases on other grounds. Habeas is most fundamentally a procedural right, a mechanism for contesting the legality of executive detention. The critical threshold question in these cases, prior to any inquiry about the writ’s scope, is whether the system the political branches designed protects whatever rights the </w:t>
      </w:r>
      <w:proofErr w:type="spellStart"/>
      <w:r>
        <w:rPr>
          <w:color w:val="000000"/>
        </w:rPr>
        <w:t>detaineesmay</w:t>
      </w:r>
      <w:proofErr w:type="spellEnd"/>
      <w:r>
        <w:rPr>
          <w:color w:val="000000"/>
        </w:rPr>
        <w:t xml:space="preserve"> possess. If so, there is no need for any additional process, whether called “habeas” or something else.</w:t>
      </w:r>
    </w:p>
    <w:p w:rsidR="00CB002F" w:rsidRDefault="00CB002F" w:rsidP="00CB002F">
      <w:pPr>
        <w:pStyle w:val="NormalWeb"/>
        <w:spacing w:before="0" w:beforeAutospacing="0" w:after="0" w:afterAutospacing="0"/>
        <w:ind w:firstLine="720"/>
        <w:jc w:val="both"/>
      </w:pPr>
      <w:r>
        <w:rPr>
          <w:color w:val="000000"/>
        </w:rPr>
        <w:t xml:space="preserve"> The Court does eventually get around to asking whether review under the DTA is, as the Court frames it, an “adequate substitute” for habeas, but even then its opinion fails to determine what rights the detainees possess and whether the DTA system satisfies them. The majority instead compares the undefined DTA process to an equally undefined habeas right—one that is to be given shape only in the future by district courts on a case-by-case basis. This whole approach is misguided. . . . </w:t>
      </w:r>
    </w:p>
    <w:p w:rsidR="00CB002F" w:rsidRDefault="00CB002F" w:rsidP="00CB002F">
      <w:pPr>
        <w:pStyle w:val="NormalWeb"/>
        <w:spacing w:before="0" w:beforeAutospacing="0" w:after="0" w:afterAutospacing="0"/>
        <w:ind w:firstLine="720"/>
        <w:jc w:val="both"/>
      </w:pPr>
      <w:r>
        <w:rPr>
          <w:color w:val="000000"/>
        </w:rPr>
        <w:t>All that today’s opinion has done is shift responsibility for those sensitive foreign policy and national security decisions from the elected branches to the Federal Judiciary.</w:t>
      </w:r>
    </w:p>
    <w:p w:rsidR="00CB002F" w:rsidRDefault="00CB002F" w:rsidP="00CB002F">
      <w:pPr>
        <w:pStyle w:val="NormalWeb"/>
        <w:spacing w:before="0" w:beforeAutospacing="0" w:after="0" w:afterAutospacing="0"/>
        <w:ind w:firstLine="720"/>
        <w:jc w:val="both"/>
      </w:pPr>
      <w:r>
        <w:rPr>
          <w:color w:val="000000"/>
        </w:rPr>
        <w:t xml:space="preserve"> I believe the system the political branches constructed adequately protects any constitutional rights aliens captured abroad and detained as enemy combatants may enjoy. I therefore would dismiss these cases on that ground. With all respect for the contrary views of the majority, I must dissent.</w:t>
      </w:r>
    </w:p>
    <w:p w:rsidR="00CB002F" w:rsidRDefault="00CB002F" w:rsidP="00CB002F">
      <w:pPr>
        <w:pStyle w:val="NormalWeb"/>
        <w:spacing w:before="0" w:beforeAutospacing="0" w:after="0" w:afterAutospacing="0"/>
        <w:ind w:firstLine="720"/>
        <w:jc w:val="both"/>
      </w:pPr>
      <w:r>
        <w:rPr>
          <w:color w:val="000000"/>
        </w:rPr>
        <w:t xml:space="preserve"> I. . . . The political branches created a two-part, collateral review procedure for testing the legality of the prisoners’ detention. . . . </w:t>
      </w:r>
    </w:p>
    <w:p w:rsidR="00CB002F" w:rsidRDefault="00CB002F" w:rsidP="00CB002F">
      <w:pPr>
        <w:pStyle w:val="NormalWeb"/>
        <w:spacing w:before="0" w:beforeAutospacing="0" w:after="0" w:afterAutospacing="0"/>
        <w:ind w:firstLine="720"/>
        <w:jc w:val="both"/>
      </w:pPr>
      <w:r>
        <w:rPr>
          <w:color w:val="000000"/>
        </w:rPr>
        <w:t xml:space="preserve">It is grossly premature to pronounce on the detainees’ right to habeas without first assessing whether the remedies the DTA system provides vindicate whatever rights petitioners may claim. The plurality in Hamdi v. Rumsfeld (2004), explained that the Constitution guaranteed an American citizen challenging his detention as an enemy combatant the right to “notice of the factual basis for his classification, and a fair opportunity to rebut the Government’s factual assertions before a neutral decision maker.” This point is directly pertinent here, for surely the Due Process Clause does not afford noncitizens in such circumstances greater protection than citizens are due. </w:t>
      </w:r>
    </w:p>
    <w:p w:rsidR="00CB002F" w:rsidRDefault="00CB002F" w:rsidP="00CB002F">
      <w:pPr>
        <w:pStyle w:val="NormalWeb"/>
        <w:spacing w:before="0" w:beforeAutospacing="0" w:after="0" w:afterAutospacing="0"/>
        <w:ind w:firstLine="720"/>
        <w:jc w:val="both"/>
      </w:pPr>
      <w:r>
        <w:rPr>
          <w:color w:val="000000"/>
        </w:rPr>
        <w:t xml:space="preserve">If the CSRT procedures meet the minimal due process requirements outlined in Hamdi, and if an Article III court is available to ensure that these procedures are followed in future cases, there is no need to reach the Suspension Clause question. . . . </w:t>
      </w:r>
    </w:p>
    <w:p w:rsidR="00CB002F" w:rsidRDefault="00CB002F" w:rsidP="00CB002F">
      <w:pPr>
        <w:pStyle w:val="NormalWeb"/>
        <w:spacing w:before="0" w:beforeAutospacing="0" w:after="0" w:afterAutospacing="0"/>
        <w:ind w:firstLine="720"/>
        <w:jc w:val="both"/>
      </w:pPr>
      <w:r>
        <w:rPr>
          <w:color w:val="000000"/>
        </w:rPr>
        <w:t xml:space="preserve">This is why the Court should have required petitioners to exhaust their remedies under the statute. . . . </w:t>
      </w:r>
    </w:p>
    <w:p w:rsidR="00CB002F" w:rsidRDefault="00CB002F" w:rsidP="00CB002F">
      <w:pPr>
        <w:pStyle w:val="NormalWeb"/>
        <w:spacing w:before="0" w:beforeAutospacing="0" w:after="0" w:afterAutospacing="0"/>
        <w:ind w:firstLine="720"/>
        <w:jc w:val="both"/>
      </w:pPr>
      <w:r>
        <w:rPr>
          <w:color w:val="000000"/>
        </w:rPr>
        <w:t xml:space="preserve">In the absence of any assessment of the DTA’s remedies, the question whether detainees are entitled to habeas is an entirely speculative one. . . . </w:t>
      </w:r>
    </w:p>
    <w:p w:rsidR="00CB002F" w:rsidRDefault="00CB002F" w:rsidP="00CB002F">
      <w:pPr>
        <w:pStyle w:val="NormalWeb"/>
        <w:spacing w:before="0" w:beforeAutospacing="0" w:after="0" w:afterAutospacing="0"/>
        <w:ind w:firstLine="720"/>
        <w:jc w:val="both"/>
      </w:pPr>
      <w:r>
        <w:rPr>
          <w:color w:val="000000"/>
        </w:rPr>
        <w:lastRenderedPageBreak/>
        <w:t xml:space="preserve">II. . . . The majority strikes down the statute because it is not an “adequate substitute” for habeas review, but fails to show what rights the detainees have that cannot be vindicated by the DTA system. </w:t>
      </w:r>
    </w:p>
    <w:p w:rsidR="00CB002F" w:rsidRDefault="00CB002F" w:rsidP="00CB002F">
      <w:pPr>
        <w:pStyle w:val="NormalWeb"/>
        <w:spacing w:before="0" w:beforeAutospacing="0" w:after="0" w:afterAutospacing="0"/>
        <w:ind w:firstLine="720"/>
        <w:jc w:val="both"/>
      </w:pPr>
      <w:r>
        <w:rPr>
          <w:color w:val="000000"/>
        </w:rPr>
        <w:t>Because the central purpose of habeas corpus is to test the legality of executive detention, the writ requires most fundamentally an Article III court able to hear the prisoner’s claims and, when necessary, order release. Beyond that, the process a given prisoner is entitled to receive depends on the circumstances and the rights of the prisoner. After much hemming and hawing, the majority appears to concede that the DTA provides an Article III court competent to order release. The only issue in dispute is the process the Guantanamo prisoners are entitled to use to test the legality of their detention. Hamdi concluded that American citizens detained as enemy combatants are entitled to only limited process, and that much of that process could be supplied by a military tribunal, with review to follow in an Article III court. That is precisely the system we have here. It is adequate to vindicate whatever due process rights petitioners may have.</w:t>
      </w:r>
    </w:p>
    <w:p w:rsidR="00CB002F" w:rsidRDefault="00CB002F" w:rsidP="00CB002F">
      <w:pPr>
        <w:pStyle w:val="NormalWeb"/>
        <w:spacing w:before="0" w:beforeAutospacing="0" w:after="0" w:afterAutospacing="0"/>
        <w:ind w:firstLine="720"/>
        <w:jc w:val="both"/>
      </w:pPr>
      <w:r>
        <w:rPr>
          <w:color w:val="000000"/>
        </w:rPr>
        <w:t xml:space="preserve"> II-A. . . . First of all, the majority is quite wrong to dismiss the Executive’s determination of detainee status as no more than a “battlefield” judgment, as if it were somehow provisional and made in great haste. . . . </w:t>
      </w:r>
    </w:p>
    <w:p w:rsidR="00CB002F" w:rsidRDefault="00CB002F" w:rsidP="00CB002F">
      <w:pPr>
        <w:pStyle w:val="NormalWeb"/>
        <w:spacing w:before="0" w:beforeAutospacing="0" w:after="0" w:afterAutospacing="0"/>
        <w:ind w:firstLine="720"/>
        <w:jc w:val="both"/>
      </w:pPr>
      <w:r>
        <w:rPr>
          <w:color w:val="000000"/>
        </w:rPr>
        <w:t xml:space="preserve">The majority is equally wrong to characterize the CSRTs as part of that initial determination process. They are instead a means for detainees to challenge the Government’s determination. The CSRTs operate much as habeas courts would if hearing the detainee’s collateral challenge for the first time: They gather evidence, call witnesses, take testimony, and render a decision on the legality of the Government’s detention. . . . </w:t>
      </w:r>
    </w:p>
    <w:p w:rsidR="00CB002F" w:rsidRDefault="00CB002F" w:rsidP="00CB002F">
      <w:pPr>
        <w:pStyle w:val="NormalWeb"/>
        <w:spacing w:before="0" w:beforeAutospacing="0" w:after="0" w:afterAutospacing="0"/>
        <w:ind w:firstLine="720"/>
        <w:jc w:val="both"/>
      </w:pPr>
      <w:r>
        <w:rPr>
          <w:color w:val="000000"/>
        </w:rPr>
        <w:t xml:space="preserve">The use of a military tribunal such as the CSRTs to review the aliens’ detention should be familiar to this Court in light of the Hamdi plurality, which said that the due process rights enjoyed by American citizens detained as enemy combatants could be vindicated “by an appropriately authorized and properly constituted military tribunal.” The DTA represents Congress’ considered attempt to provide the accused alien combatants detained at Guantanamo a constitutionally adequate opportunity to contest their detentions before just such a tribunal. . . . </w:t>
      </w:r>
    </w:p>
    <w:p w:rsidR="00CB002F" w:rsidRDefault="00CB002F" w:rsidP="00CB002F">
      <w:pPr>
        <w:pStyle w:val="NormalWeb"/>
        <w:spacing w:before="0" w:beforeAutospacing="0" w:after="0" w:afterAutospacing="0"/>
        <w:ind w:firstLine="720"/>
        <w:jc w:val="both"/>
      </w:pPr>
      <w:r>
        <w:rPr>
          <w:color w:val="000000"/>
        </w:rPr>
        <w:t xml:space="preserve">II-C. At the CSRT stage, every petitioner has the right to present evidence that he has been wrongfully detained. . . . </w:t>
      </w:r>
    </w:p>
    <w:p w:rsidR="00CB002F" w:rsidRDefault="00CB002F" w:rsidP="00CB002F">
      <w:pPr>
        <w:pStyle w:val="NormalWeb"/>
        <w:spacing w:before="0" w:beforeAutospacing="0" w:after="0" w:afterAutospacing="0"/>
        <w:ind w:firstLine="720"/>
        <w:jc w:val="both"/>
      </w:pPr>
      <w:r>
        <w:rPr>
          <w:color w:val="000000"/>
        </w:rPr>
        <w:t xml:space="preserve">Detainees not only have the opportunity to confront any witness who appears before the tribunal, they may call witnesses of their own. The Implementation Memo requires only that detainees ‘witnesses be “reasonably available,” and entirely consistent with the Government’s interest in avoiding “a futile search for evidence” </w:t>
      </w:r>
      <w:proofErr w:type="spellStart"/>
      <w:r>
        <w:rPr>
          <w:color w:val="000000"/>
        </w:rPr>
        <w:t>thatmight</w:t>
      </w:r>
      <w:proofErr w:type="spellEnd"/>
      <w:r>
        <w:rPr>
          <w:color w:val="000000"/>
        </w:rPr>
        <w:t xml:space="preserve"> burden </w:t>
      </w:r>
      <w:proofErr w:type="spellStart"/>
      <w:r>
        <w:rPr>
          <w:color w:val="000000"/>
        </w:rPr>
        <w:t>warmaking</w:t>
      </w:r>
      <w:proofErr w:type="spellEnd"/>
      <w:r>
        <w:rPr>
          <w:color w:val="000000"/>
        </w:rPr>
        <w:t xml:space="preserve"> responsibilities. . . . </w:t>
      </w:r>
    </w:p>
    <w:p w:rsidR="00CB002F" w:rsidRDefault="00CB002F" w:rsidP="00CB002F">
      <w:pPr>
        <w:pStyle w:val="NormalWeb"/>
        <w:spacing w:before="0" w:beforeAutospacing="0" w:after="0" w:afterAutospacing="0"/>
        <w:ind w:firstLine="720"/>
        <w:jc w:val="both"/>
      </w:pPr>
      <w:r>
        <w:rPr>
          <w:color w:val="000000"/>
        </w:rPr>
        <w:t xml:space="preserve">The Court is correct that some forms of hearsay evidence are admissible before the CSRT, but Hamdi expressly approved this use of hearsay by habeas courts. As to classified information, while detainees are not permitted access to it themselves, the Implementation Memo provides each detainee with a “Personal </w:t>
      </w:r>
      <w:proofErr w:type="spellStart"/>
      <w:r>
        <w:rPr>
          <w:color w:val="000000"/>
        </w:rPr>
        <w:t>Representative”who</w:t>
      </w:r>
      <w:proofErr w:type="spellEnd"/>
      <w:r>
        <w:rPr>
          <w:color w:val="000000"/>
        </w:rPr>
        <w:t xml:space="preserve"> may review classified documents at the CSRT stage and summarize them for the detainee. . . . Indeed, prisoners of war who challenge their status determinations under the Geneva Convention are afforded no such access. . . . II-D. Despite these guarantees, the Court finds the DTA system an inadequate habeas substitute, for one central reason: Detainees are unable to introduce at the appeal stage exculpatory evidence discovered after the conclusion of their CSRT proceedings. . . . While the majority is correct that the DTA does not contemplate the introduction of “newly discovered” evidence before the Court of Appeals, petitioners and the Solicitor General agree that the DTA does permit the D. C. Circuit to remand a detainee’s case for anew CSRT determination. . . . In addition, DTA §1005(d)(1) further requires </w:t>
      </w:r>
      <w:r>
        <w:rPr>
          <w:color w:val="000000"/>
        </w:rPr>
        <w:lastRenderedPageBreak/>
        <w:t xml:space="preserve">the Department of Defense to conduct a yearly review of the status of each prisoner. . . . III. For all its eloquence about the detainees’ right to the writ, the Court makes no effort to elaborate how exactly the remedy it prescribes will differ from the procedural protections detainees enjoy under the DTA. The Court objects to the detainees’ limited access to witnesses and classified material, but proposes no alternatives of its own. . . . There are other problems. Take witness availability. What makes the majority think witnesses will </w:t>
      </w:r>
      <w:proofErr w:type="spellStart"/>
      <w:r>
        <w:rPr>
          <w:color w:val="000000"/>
        </w:rPr>
        <w:t>becomemagically</w:t>
      </w:r>
      <w:proofErr w:type="spellEnd"/>
      <w:r>
        <w:rPr>
          <w:color w:val="000000"/>
        </w:rPr>
        <w:t xml:space="preserve"> available when the review procedure is labeled “habeas”? ... The majority rests its decision on abstract and hypothetical concerns. . . . I respectfully dissent. Justice Scalia, dissenting, with which The Chief Justice, Justice Thomas, and Justice Alito join. Today, for the first time in our Nation’s history, the Court confers a constitutional right to habeas corpus on alien enemies detained abroad by our military forces in the course of an ongoing war. The Chief Justice’s dissent, which I join, shows that the procedures prescribed by Congress in the Detainee Treatment Act provide the essential protections that habeas corpus guarantees; there has thus been no suspension of the writ, and no basis exists for judicial intervention beyond what the Act allows. My problem with today’s opinion is more fundamental still: The writ of habeas corpus does not, and never has, run in favor of aliens abroad; the Suspension Clause thus has no application, and the Court’s intervention in this military matter is entirely ultra vires.</w:t>
      </w:r>
    </w:p>
    <w:p w:rsidR="00CB002F" w:rsidRDefault="00CB002F" w:rsidP="00CB002F">
      <w:pPr>
        <w:pStyle w:val="NormalWeb"/>
        <w:spacing w:before="0" w:beforeAutospacing="0" w:after="0" w:afterAutospacing="0"/>
        <w:ind w:firstLine="720"/>
        <w:jc w:val="both"/>
      </w:pPr>
      <w:r>
        <w:rPr>
          <w:color w:val="000000"/>
        </w:rPr>
        <w:t xml:space="preserve"> I shall devote most of what will be a lengthy opinion to the legal errors contained in the opinion of the Court. Contrary </w:t>
      </w:r>
      <w:proofErr w:type="spellStart"/>
      <w:r>
        <w:rPr>
          <w:color w:val="000000"/>
        </w:rPr>
        <w:t>tomy</w:t>
      </w:r>
      <w:proofErr w:type="spellEnd"/>
      <w:r>
        <w:rPr>
          <w:color w:val="000000"/>
        </w:rPr>
        <w:t xml:space="preserve"> usual practice, however, I think it appropriate to begin with a description of the disastrous consequences of what the Court has done today. </w:t>
      </w:r>
    </w:p>
    <w:p w:rsidR="00CB002F" w:rsidRDefault="00CB002F" w:rsidP="00CB002F">
      <w:pPr>
        <w:pStyle w:val="NormalWeb"/>
        <w:spacing w:before="0" w:beforeAutospacing="0" w:after="0" w:afterAutospacing="0"/>
        <w:ind w:firstLine="720"/>
        <w:jc w:val="both"/>
      </w:pPr>
      <w:r>
        <w:rPr>
          <w:color w:val="000000"/>
        </w:rPr>
        <w:t xml:space="preserve">I. America is at war with radical Islamists. The enemy began by killing Americans and American allies abroad: 241 at the Marine barracks in Lebanon, 19 at the Khobar Towers in Dhahran, 224 at our embassies in Dar es Salaam and Nairobi, and 17 on the USS Cole in Yemen. On September 11, 2001, the enemy brought the battle to American soil, killing 2,749 at the Twin Towers in New York City, 184 at the Pentagon in Washington, D. C., and 40 in Pennsylvania. It has threatened further attacks against our homeland; one need only walk about buttressed and </w:t>
      </w:r>
      <w:proofErr w:type="spellStart"/>
      <w:r>
        <w:rPr>
          <w:color w:val="000000"/>
        </w:rPr>
        <w:t>barricadedWashington</w:t>
      </w:r>
      <w:proofErr w:type="spellEnd"/>
      <w:r>
        <w:rPr>
          <w:color w:val="000000"/>
        </w:rPr>
        <w:t xml:space="preserve">, or board a plane anywhere in the country, to know that the threat is a serious one. Our Armed Forces are now in the field against the enemy, in Afghanistan and Iraq. Last week, 13 of our countrymen in arms were killed. </w:t>
      </w:r>
    </w:p>
    <w:p w:rsidR="00CB002F" w:rsidRDefault="00CB002F" w:rsidP="00CB002F">
      <w:pPr>
        <w:pStyle w:val="NormalWeb"/>
        <w:spacing w:before="0" w:beforeAutospacing="0" w:after="0" w:afterAutospacing="0"/>
        <w:ind w:firstLine="720"/>
        <w:jc w:val="both"/>
      </w:pPr>
      <w:r>
        <w:rPr>
          <w:color w:val="000000"/>
        </w:rPr>
        <w:t xml:space="preserve">The game of bait-and-switch that today’s opinion plays upon the Nation’s Commander in Chief will make the war harder on us. It will almost certainly cause more Americans to be killed. That consequence would be tolerable if necessary to preserve a time-honored legal principle vital to our constitutional Republic. But it is this Court’s blatant abandonment of such a principle that produces the decision today. The President relied on our settled precedent in Johnson v. </w:t>
      </w:r>
      <w:proofErr w:type="spellStart"/>
      <w:r>
        <w:rPr>
          <w:color w:val="000000"/>
        </w:rPr>
        <w:t>Eisentrager</w:t>
      </w:r>
      <w:proofErr w:type="spellEnd"/>
      <w:r>
        <w:rPr>
          <w:color w:val="000000"/>
        </w:rPr>
        <w:t xml:space="preserve"> (1950), when he established the prison at Guantanamo Bay for enemy aliens. Citing that case, the President’s Office of Legal Counsel advised him “that the great weight of legal authority indicates that a federal district court could not properly exercise habeas jurisdiction over an alien detained at [Guantanamo Bay].” Had the law been otherwise, the military surely would not have transported prisoners there, but would have kept them in Afghanistan, transferred them to another of our foreign military bases, or turned them over to allies for detention. Those other facilities might well have been worse for the detainees themselves.</w:t>
      </w:r>
    </w:p>
    <w:p w:rsidR="00CB002F" w:rsidRDefault="00CB002F" w:rsidP="00CB002F">
      <w:pPr>
        <w:pStyle w:val="NormalWeb"/>
        <w:spacing w:before="0" w:beforeAutospacing="0" w:after="0" w:afterAutospacing="0"/>
        <w:ind w:firstLine="720"/>
        <w:jc w:val="both"/>
      </w:pPr>
      <w:r>
        <w:rPr>
          <w:color w:val="000000"/>
        </w:rPr>
        <w:t xml:space="preserve"> In the long term, then, the Court’s decision today accomplishes little, except perhaps to reduce the well-being of enemy combatants that the Court ostensibly seeks to protect. In the short term, however, the decision is devastating. At least 30 of those prisoners hitherto released from Guantanamo Bay have returned to the battlefield. Some have been captured or killed. But others have succeeded in carrying on their atrocities against innocent civilians. In one case, a detainee </w:t>
      </w:r>
      <w:r>
        <w:rPr>
          <w:color w:val="000000"/>
        </w:rPr>
        <w:lastRenderedPageBreak/>
        <w:t>released from Guantanamo Bay masterminded the kidnapping of two Chinese dam workers, one of whom was later shot to death when used as a human shield against Pakistani commandoes. Another former detainee promptly resumed his post as a senior Taliban commander and murdered a United Nations engineer and three Afghan soldiers. It was reported only last month that a released detainee carried out a suicide bombing against Iraqi soldiers in Mosul, Iraq.</w:t>
      </w:r>
    </w:p>
    <w:p w:rsidR="00CB002F" w:rsidRDefault="00CB002F" w:rsidP="00CB002F">
      <w:pPr>
        <w:pStyle w:val="NormalWeb"/>
        <w:spacing w:before="0" w:beforeAutospacing="0" w:after="0" w:afterAutospacing="0"/>
        <w:ind w:firstLine="720"/>
        <w:jc w:val="both"/>
      </w:pPr>
      <w:r>
        <w:rPr>
          <w:color w:val="000000"/>
        </w:rPr>
        <w:t xml:space="preserve"> These, mind you, were detainees whom the military had concluded were not enemy combatants. Their return to the kill illustrates the incredible difficulty of assessing who is and who is not an enemy combatant in a foreign theater of operations where the environment does not lend itself to rigorous evidence collection. . . . </w:t>
      </w:r>
    </w:p>
    <w:p w:rsidR="00CB002F" w:rsidRDefault="00CB002F" w:rsidP="00CB002F">
      <w:pPr>
        <w:pStyle w:val="NormalWeb"/>
        <w:spacing w:before="0" w:beforeAutospacing="0" w:after="0" w:afterAutospacing="0"/>
        <w:ind w:firstLine="720"/>
        <w:jc w:val="both"/>
      </w:pPr>
      <w:r>
        <w:rPr>
          <w:color w:val="000000"/>
        </w:rPr>
        <w:t xml:space="preserve">III. . . . Today the Court warps our Constitution in a way that goes beyond the narrow issue of the reach of the Suspension Clause, invoking judicially brainstormed </w:t>
      </w:r>
      <w:proofErr w:type="spellStart"/>
      <w:r>
        <w:rPr>
          <w:color w:val="000000"/>
        </w:rPr>
        <w:t>separationof</w:t>
      </w:r>
      <w:proofErr w:type="spellEnd"/>
      <w:r>
        <w:rPr>
          <w:color w:val="000000"/>
        </w:rPr>
        <w:t xml:space="preserve">- powers principles to establish </w:t>
      </w:r>
      <w:proofErr w:type="spellStart"/>
      <w:r>
        <w:rPr>
          <w:color w:val="000000"/>
        </w:rPr>
        <w:t>amanipulable</w:t>
      </w:r>
      <w:proofErr w:type="spellEnd"/>
      <w:r>
        <w:rPr>
          <w:color w:val="000000"/>
        </w:rPr>
        <w:t xml:space="preserve"> “functional” test for the extraterritorial reach of habeas corpus (and, no doubt, for the extraterritorial reach of other constitutional protections as well). It blatantly misdescribes important precedents, most conspicuously Justice Jackson’s opinion for the Court in Johnson v. </w:t>
      </w:r>
      <w:proofErr w:type="spellStart"/>
      <w:r>
        <w:rPr>
          <w:color w:val="000000"/>
        </w:rPr>
        <w:t>Eisentrager</w:t>
      </w:r>
      <w:proofErr w:type="spellEnd"/>
      <w:r>
        <w:rPr>
          <w:color w:val="000000"/>
        </w:rPr>
        <w:t xml:space="preserve">. It breaks a chain of precedent as old as the common law that prohibits judicial inquiry into detentions of aliens abroad absent statutory authorization. And, most tragically, it sets our military commanders the impossible task of proving to a civilian court, under whatever standards this Court devises in the future, that evidence supports the confinement of each and every enemy prisoner. </w:t>
      </w:r>
    </w:p>
    <w:p w:rsidR="00CB002F" w:rsidRDefault="00CB002F" w:rsidP="00CB002F">
      <w:pPr>
        <w:pStyle w:val="NormalWeb"/>
        <w:spacing w:before="0" w:beforeAutospacing="0" w:after="0" w:afterAutospacing="0"/>
        <w:ind w:firstLine="720"/>
        <w:jc w:val="both"/>
      </w:pPr>
      <w:r>
        <w:rPr>
          <w:color w:val="000000"/>
        </w:rPr>
        <w:t>The Nation will live to regret what the Court has done today. I dissent.</w:t>
      </w:r>
    </w:p>
    <w:p w:rsidR="005F75F5" w:rsidRDefault="005F75F5"/>
    <w:sectPr w:rsidR="005F75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02F"/>
    <w:rsid w:val="005F75F5"/>
    <w:rsid w:val="00CB00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7FE8AF-C5C7-45FD-8B09-478F23A43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B002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9362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11152</Words>
  <Characters>63568</Characters>
  <Application>Microsoft Office Word</Application>
  <DocSecurity>0</DocSecurity>
  <Lines>529</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McCauslin, Nicholas I.</dc:creator>
  <cp:keywords/>
  <dc:description/>
  <cp:lastModifiedBy>McCauslin, Nicholas I.</cp:lastModifiedBy>
  <cp:revision>1</cp:revision>
  <dcterms:created xsi:type="dcterms:W3CDTF">2018-07-02T18:36:00Z</dcterms:created>
  <dcterms:modified xsi:type="dcterms:W3CDTF">2018-07-02T18:37:00Z</dcterms:modified>
</cp:coreProperties>
</file>