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0428" w:rsidRDefault="00E70428" w:rsidP="00E70428">
      <w:pPr>
        <w:autoSpaceDE w:val="0"/>
        <w:autoSpaceDN w:val="0"/>
        <w:adjustRightInd w:val="0"/>
        <w:spacing w:after="0" w:line="240" w:lineRule="auto"/>
        <w:rPr>
          <w:rFonts w:ascii="Minion-Regular" w:hAnsi="Minion-Regular" w:cs="Minion-Regular"/>
          <w:sz w:val="21"/>
          <w:szCs w:val="21"/>
        </w:rPr>
      </w:pPr>
      <w:r>
        <w:rPr>
          <w:rFonts w:ascii="Minion-Regular" w:hAnsi="Minion-Regular" w:cs="Minion-Regular"/>
          <w:sz w:val="21"/>
          <w:szCs w:val="21"/>
        </w:rPr>
        <w:t xml:space="preserve">In </w:t>
      </w:r>
      <w:r>
        <w:rPr>
          <w:rFonts w:ascii="Minion-Italic" w:hAnsi="Minion-Italic" w:cs="Minion-Italic"/>
          <w:i/>
          <w:iCs/>
          <w:sz w:val="21"/>
          <w:szCs w:val="21"/>
        </w:rPr>
        <w:t xml:space="preserve">Board of Trustees of the University of Alabama v. Garrett </w:t>
      </w:r>
      <w:r>
        <w:rPr>
          <w:rFonts w:ascii="Minion-Regular" w:hAnsi="Minion-Regular" w:cs="Minion-Regular"/>
          <w:sz w:val="21"/>
          <w:szCs w:val="21"/>
        </w:rPr>
        <w:t>(2001), the Court considered</w:t>
      </w:r>
      <w:r>
        <w:rPr>
          <w:rFonts w:ascii="Minion-Regular" w:hAnsi="Minion-Regular" w:cs="Minion-Regular"/>
          <w:sz w:val="21"/>
          <w:szCs w:val="21"/>
        </w:rPr>
        <w:t xml:space="preserve"> </w:t>
      </w:r>
      <w:r>
        <w:rPr>
          <w:rFonts w:ascii="Minion-Regular" w:hAnsi="Minion-Regular" w:cs="Minion-Regular"/>
          <w:sz w:val="21"/>
          <w:szCs w:val="21"/>
        </w:rPr>
        <w:t>a suit filed in federal court against a state claiming a violation of the Americans</w:t>
      </w:r>
      <w:r>
        <w:rPr>
          <w:rFonts w:ascii="Minion-Regular" w:hAnsi="Minion-Regular" w:cs="Minion-Regular"/>
          <w:sz w:val="21"/>
          <w:szCs w:val="21"/>
        </w:rPr>
        <w:t xml:space="preserve"> </w:t>
      </w:r>
      <w:r>
        <w:rPr>
          <w:rFonts w:ascii="Minion-Regular" w:hAnsi="Minion-Regular" w:cs="Minion-Regular"/>
          <w:sz w:val="21"/>
          <w:szCs w:val="21"/>
        </w:rPr>
        <w:t>with Disabilities Act (ADA). The act prohibits discrimination in employment against</w:t>
      </w:r>
      <w:r>
        <w:rPr>
          <w:rFonts w:ascii="Minion-Regular" w:hAnsi="Minion-Regular" w:cs="Minion-Regular"/>
          <w:sz w:val="21"/>
          <w:szCs w:val="21"/>
        </w:rPr>
        <w:t xml:space="preserve"> </w:t>
      </w:r>
      <w:r>
        <w:rPr>
          <w:rFonts w:ascii="Minion-Regular" w:hAnsi="Minion-Regular" w:cs="Minion-Regular"/>
          <w:sz w:val="21"/>
          <w:szCs w:val="21"/>
        </w:rPr>
        <w:t>a qualified person who has a disability. Patricia Garrett, a registered nurse, had been</w:t>
      </w:r>
      <w:r>
        <w:rPr>
          <w:rFonts w:ascii="Minion-Regular" w:hAnsi="Minion-Regular" w:cs="Minion-Regular"/>
          <w:sz w:val="21"/>
          <w:szCs w:val="21"/>
        </w:rPr>
        <w:t xml:space="preserve"> </w:t>
      </w:r>
      <w:r>
        <w:rPr>
          <w:rFonts w:ascii="Minion-Regular" w:hAnsi="Minion-Regular" w:cs="Minion-Regular"/>
          <w:sz w:val="21"/>
          <w:szCs w:val="21"/>
        </w:rPr>
        <w:t>employed by the University of Alabama. She had been diagnosed with breast cancer,</w:t>
      </w:r>
      <w:r>
        <w:rPr>
          <w:rFonts w:ascii="Minion-Regular" w:hAnsi="Minion-Regular" w:cs="Minion-Regular"/>
          <w:sz w:val="21"/>
          <w:szCs w:val="21"/>
        </w:rPr>
        <w:t xml:space="preserve"> </w:t>
      </w:r>
      <w:r>
        <w:rPr>
          <w:rFonts w:ascii="Minion-Regular" w:hAnsi="Minion-Regular" w:cs="Minion-Regular"/>
          <w:sz w:val="21"/>
          <w:szCs w:val="21"/>
        </w:rPr>
        <w:t>took substantial leave from work, was treated, and returned to work. On returning</w:t>
      </w:r>
      <w:r>
        <w:rPr>
          <w:rFonts w:ascii="Minion-Regular" w:hAnsi="Minion-Regular" w:cs="Minion-Regular"/>
          <w:sz w:val="21"/>
          <w:szCs w:val="21"/>
        </w:rPr>
        <w:t xml:space="preserve"> </w:t>
      </w:r>
      <w:r>
        <w:rPr>
          <w:rFonts w:ascii="Minion-Regular" w:hAnsi="Minion-Regular" w:cs="Minion-Regular"/>
          <w:sz w:val="21"/>
          <w:szCs w:val="21"/>
        </w:rPr>
        <w:t>to work she was told she would have to give up her director’s position, whereupon</w:t>
      </w:r>
      <w:r>
        <w:rPr>
          <w:rFonts w:ascii="Minion-Regular" w:hAnsi="Minion-Regular" w:cs="Minion-Regular"/>
          <w:sz w:val="21"/>
          <w:szCs w:val="21"/>
        </w:rPr>
        <w:t xml:space="preserve"> </w:t>
      </w:r>
      <w:r>
        <w:rPr>
          <w:rFonts w:ascii="Minion-Regular" w:hAnsi="Minion-Regular" w:cs="Minion-Regular"/>
          <w:sz w:val="21"/>
          <w:szCs w:val="21"/>
        </w:rPr>
        <w:t>she took a lower paying job and sued under the ADA in federal court. A closely divided</w:t>
      </w:r>
      <w:r>
        <w:rPr>
          <w:rFonts w:ascii="Minion-Regular" w:hAnsi="Minion-Regular" w:cs="Minion-Regular"/>
          <w:sz w:val="21"/>
          <w:szCs w:val="21"/>
        </w:rPr>
        <w:t xml:space="preserve"> </w:t>
      </w:r>
      <w:r>
        <w:rPr>
          <w:rFonts w:ascii="Minion-Regular" w:hAnsi="Minion-Regular" w:cs="Minion-Regular"/>
          <w:sz w:val="21"/>
          <w:szCs w:val="21"/>
        </w:rPr>
        <w:t>Supreme Court again held that the 11th Amendment barred suits in federal</w:t>
      </w:r>
      <w:r>
        <w:rPr>
          <w:rFonts w:ascii="Minion-Regular" w:hAnsi="Minion-Regular" w:cs="Minion-Regular"/>
          <w:sz w:val="21"/>
          <w:szCs w:val="21"/>
        </w:rPr>
        <w:t xml:space="preserve"> </w:t>
      </w:r>
      <w:r>
        <w:rPr>
          <w:rFonts w:ascii="Minion-Regular" w:hAnsi="Minion-Regular" w:cs="Minion-Regular"/>
          <w:sz w:val="21"/>
          <w:szCs w:val="21"/>
        </w:rPr>
        <w:t>court against a state under any statute based upon the commerce power of Congress.</w:t>
      </w:r>
    </w:p>
    <w:p w:rsidR="00E70428" w:rsidRDefault="00E70428" w:rsidP="00E70428">
      <w:pPr>
        <w:autoSpaceDE w:val="0"/>
        <w:autoSpaceDN w:val="0"/>
        <w:adjustRightInd w:val="0"/>
        <w:spacing w:after="0" w:line="240" w:lineRule="auto"/>
        <w:rPr>
          <w:rFonts w:ascii="Minion-Regular" w:hAnsi="Minion-Regular" w:cs="Minion-Regular"/>
          <w:sz w:val="21"/>
          <w:szCs w:val="21"/>
        </w:rPr>
      </w:pPr>
    </w:p>
    <w:p w:rsidR="005F75F5" w:rsidRDefault="00E70428" w:rsidP="00E70428">
      <w:pPr>
        <w:autoSpaceDE w:val="0"/>
        <w:autoSpaceDN w:val="0"/>
        <w:adjustRightInd w:val="0"/>
        <w:spacing w:after="0" w:line="240" w:lineRule="auto"/>
        <w:ind w:firstLine="720"/>
      </w:pPr>
      <w:r>
        <w:rPr>
          <w:rFonts w:ascii="Minion-Regular" w:hAnsi="Minion-Regular" w:cs="Minion-Regular"/>
          <w:sz w:val="21"/>
          <w:szCs w:val="21"/>
        </w:rPr>
        <w:t>The Court recognized that Congress could abrogate a state’s 11th Amendment immunity</w:t>
      </w:r>
      <w:r>
        <w:rPr>
          <w:rFonts w:ascii="Minion-Regular" w:hAnsi="Minion-Regular" w:cs="Minion-Regular"/>
          <w:sz w:val="21"/>
          <w:szCs w:val="21"/>
        </w:rPr>
        <w:t xml:space="preserve"> </w:t>
      </w:r>
      <w:r>
        <w:rPr>
          <w:rFonts w:ascii="Minion-Regular" w:hAnsi="Minion-Regular" w:cs="Minion-Regular"/>
          <w:sz w:val="21"/>
          <w:szCs w:val="21"/>
        </w:rPr>
        <w:t>to suit in federal court under the 14th Amendment. The Court held, however,</w:t>
      </w:r>
      <w:r>
        <w:rPr>
          <w:rFonts w:ascii="Minion-Regular" w:hAnsi="Minion-Regular" w:cs="Minion-Regular"/>
          <w:sz w:val="21"/>
          <w:szCs w:val="21"/>
        </w:rPr>
        <w:t xml:space="preserve"> </w:t>
      </w:r>
      <w:r>
        <w:rPr>
          <w:rFonts w:ascii="Minion-Regular" w:hAnsi="Minion-Regular" w:cs="Minion-Regular"/>
          <w:sz w:val="21"/>
          <w:szCs w:val="21"/>
        </w:rPr>
        <w:t>that its decisions established that the disabled received only rational basis</w:t>
      </w:r>
      <w:r>
        <w:rPr>
          <w:rFonts w:ascii="Minion-Regular" w:hAnsi="Minion-Regular" w:cs="Minion-Regular"/>
          <w:sz w:val="21"/>
          <w:szCs w:val="21"/>
        </w:rPr>
        <w:t xml:space="preserve"> </w:t>
      </w:r>
      <w:r>
        <w:rPr>
          <w:rFonts w:ascii="Minion-Regular" w:hAnsi="Minion-Regular" w:cs="Minion-Regular"/>
          <w:sz w:val="21"/>
          <w:szCs w:val="21"/>
        </w:rPr>
        <w:t>protection under the 14th Amendment, a reading that limited the power of Congress.</w:t>
      </w:r>
      <w:r>
        <w:rPr>
          <w:rFonts w:ascii="Minion-Regular" w:hAnsi="Minion-Regular" w:cs="Minion-Regular"/>
          <w:sz w:val="21"/>
          <w:szCs w:val="21"/>
        </w:rPr>
        <w:t xml:space="preserve"> </w:t>
      </w:r>
      <w:bookmarkStart w:id="0" w:name="_GoBack"/>
      <w:bookmarkEnd w:id="0"/>
      <w:r>
        <w:rPr>
          <w:rFonts w:ascii="Minion-Regular" w:hAnsi="Minion-Regular" w:cs="Minion-Regular"/>
          <w:sz w:val="21"/>
          <w:szCs w:val="21"/>
        </w:rPr>
        <w:t>Congress could not expand the scope of the 14th Amendment as interpreted</w:t>
      </w:r>
      <w:r>
        <w:rPr>
          <w:rFonts w:ascii="Minion-Regular" w:hAnsi="Minion-Regular" w:cs="Minion-Regular"/>
          <w:sz w:val="21"/>
          <w:szCs w:val="21"/>
        </w:rPr>
        <w:t xml:space="preserve"> </w:t>
      </w:r>
      <w:r>
        <w:rPr>
          <w:rFonts w:ascii="Minion-Regular" w:hAnsi="Minion-Regular" w:cs="Minion-Regular"/>
          <w:sz w:val="21"/>
          <w:szCs w:val="21"/>
        </w:rPr>
        <w:t>by the Court. It could remedy violations of standards the Court recognized, provided</w:t>
      </w:r>
      <w:r>
        <w:rPr>
          <w:rFonts w:ascii="Minion-Regular" w:hAnsi="Minion-Regular" w:cs="Minion-Regular"/>
          <w:sz w:val="21"/>
          <w:szCs w:val="21"/>
        </w:rPr>
        <w:t xml:space="preserve"> </w:t>
      </w:r>
      <w:r>
        <w:rPr>
          <w:rFonts w:ascii="Minion-Regular" w:hAnsi="Minion-Regular" w:cs="Minion-Regular"/>
          <w:sz w:val="21"/>
          <w:szCs w:val="21"/>
        </w:rPr>
        <w:t>that its remedy was congruent and proportional to the problem. Here the Court</w:t>
      </w:r>
      <w:r>
        <w:rPr>
          <w:rFonts w:ascii="Minion-Regular" w:hAnsi="Minion-Regular" w:cs="Minion-Regular"/>
          <w:sz w:val="21"/>
          <w:szCs w:val="21"/>
        </w:rPr>
        <w:t xml:space="preserve"> </w:t>
      </w:r>
      <w:r>
        <w:rPr>
          <w:rFonts w:ascii="Minion-Regular" w:hAnsi="Minion-Regular" w:cs="Minion-Regular"/>
          <w:sz w:val="21"/>
          <w:szCs w:val="21"/>
        </w:rPr>
        <w:t>found application of the ADA to the states did not meet this test. Congress had made</w:t>
      </w:r>
      <w:r>
        <w:rPr>
          <w:rFonts w:ascii="Minion-Regular" w:hAnsi="Minion-Regular" w:cs="Minion-Regular"/>
          <w:sz w:val="21"/>
          <w:szCs w:val="21"/>
        </w:rPr>
        <w:t xml:space="preserve"> </w:t>
      </w:r>
      <w:r>
        <w:rPr>
          <w:rFonts w:ascii="Minion-Regular" w:hAnsi="Minion-Regular" w:cs="Minion-Regular"/>
          <w:sz w:val="21"/>
          <w:szCs w:val="21"/>
        </w:rPr>
        <w:t>extensive findings of state or local discrimination against the disabled, but the Court</w:t>
      </w:r>
      <w:r>
        <w:rPr>
          <w:rFonts w:ascii="Minion-Regular" w:hAnsi="Minion-Regular" w:cs="Minion-Regular"/>
          <w:sz w:val="21"/>
          <w:szCs w:val="21"/>
        </w:rPr>
        <w:t xml:space="preserve"> </w:t>
      </w:r>
      <w:r>
        <w:rPr>
          <w:rFonts w:ascii="Minion-Regular" w:hAnsi="Minion-Regular" w:cs="Minion-Regular"/>
          <w:sz w:val="21"/>
          <w:szCs w:val="21"/>
        </w:rPr>
        <w:t>found these insufficient to support application of the act to state governments. (Local</w:t>
      </w:r>
      <w:r>
        <w:rPr>
          <w:rFonts w:ascii="Minion-Regular" w:hAnsi="Minion-Regular" w:cs="Minion-Regular"/>
          <w:sz w:val="21"/>
          <w:szCs w:val="21"/>
        </w:rPr>
        <w:t xml:space="preserve"> </w:t>
      </w:r>
      <w:r>
        <w:rPr>
          <w:rFonts w:ascii="Minion-Regular" w:hAnsi="Minion-Regular" w:cs="Minion-Regular"/>
          <w:sz w:val="21"/>
          <w:szCs w:val="21"/>
        </w:rPr>
        <w:t>governments, the Court pointed out, do not enjoy 11th Amendment immunity, so</w:t>
      </w:r>
      <w:r>
        <w:rPr>
          <w:rFonts w:ascii="Minion-Regular" w:hAnsi="Minion-Regular" w:cs="Minion-Regular"/>
          <w:sz w:val="21"/>
          <w:szCs w:val="21"/>
        </w:rPr>
        <w:t xml:space="preserve"> </w:t>
      </w:r>
      <w:r>
        <w:rPr>
          <w:rFonts w:ascii="Minion-Regular" w:hAnsi="Minion-Regular" w:cs="Minion-Regular"/>
          <w:sz w:val="21"/>
          <w:szCs w:val="21"/>
        </w:rPr>
        <w:t>the Court discounted the many instances of local violations cited by Congress.) The</w:t>
      </w:r>
      <w:r>
        <w:rPr>
          <w:rFonts w:ascii="Minion-Regular" w:hAnsi="Minion-Regular" w:cs="Minion-Regular"/>
          <w:sz w:val="21"/>
          <w:szCs w:val="21"/>
        </w:rPr>
        <w:t xml:space="preserve"> </w:t>
      </w:r>
      <w:r>
        <w:rPr>
          <w:rFonts w:ascii="Minion-Regular" w:hAnsi="Minion-Regular" w:cs="Minion-Regular"/>
          <w:sz w:val="21"/>
          <w:szCs w:val="21"/>
        </w:rPr>
        <w:t xml:space="preserve">Justices continued to divide along the lines established in </w:t>
      </w:r>
      <w:r>
        <w:rPr>
          <w:rFonts w:ascii="Minion-Italic" w:hAnsi="Minion-Italic" w:cs="Minion-Italic"/>
          <w:i/>
          <w:iCs/>
          <w:sz w:val="21"/>
          <w:szCs w:val="21"/>
        </w:rPr>
        <w:t>Alden</w:t>
      </w:r>
      <w:r>
        <w:rPr>
          <w:rFonts w:ascii="Minion-Regular" w:hAnsi="Minion-Regular" w:cs="Minion-Regular"/>
          <w:sz w:val="21"/>
          <w:szCs w:val="21"/>
        </w:rPr>
        <w:t>.</w:t>
      </w:r>
    </w:p>
    <w:sectPr w:rsidR="005F75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nion-Italic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428"/>
    <w:rsid w:val="005F75F5"/>
    <w:rsid w:val="00E70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FEAF5"/>
  <w15:chartTrackingRefBased/>
  <w15:docId w15:val="{F0C8E4F1-B85A-4974-BAAD-BFF5A74C2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McCauslin, Nicholas I.</dc:creator>
  <cp:keywords/>
  <dc:description/>
  <cp:lastModifiedBy>McCauslin, Nicholas I.</cp:lastModifiedBy>
  <cp:revision>1</cp:revision>
  <dcterms:created xsi:type="dcterms:W3CDTF">2018-06-19T20:13:00Z</dcterms:created>
  <dcterms:modified xsi:type="dcterms:W3CDTF">2018-06-19T20:15:00Z</dcterms:modified>
</cp:coreProperties>
</file>